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339" w:type="dxa"/>
        <w:jc w:val="center"/>
        <w:tblLayout w:type="fixed"/>
        <w:tblCellMar>
          <w:top w:w="0" w:type="dxa"/>
          <w:left w:w="108" w:type="dxa"/>
          <w:bottom w:w="0" w:type="dxa"/>
          <w:right w:w="108" w:type="dxa"/>
        </w:tblCellMar>
      </w:tblPr>
      <w:tblGrid>
        <w:gridCol w:w="1781"/>
        <w:gridCol w:w="1134"/>
        <w:gridCol w:w="1321"/>
        <w:gridCol w:w="2358"/>
        <w:gridCol w:w="1705"/>
        <w:gridCol w:w="1040"/>
      </w:tblGrid>
      <w:tr>
        <w:tblPrEx>
          <w:tblCellMar>
            <w:top w:w="0" w:type="dxa"/>
            <w:left w:w="108" w:type="dxa"/>
            <w:bottom w:w="0" w:type="dxa"/>
            <w:right w:w="108" w:type="dxa"/>
          </w:tblCellMar>
        </w:tblPrEx>
        <w:trPr>
          <w:trHeight w:val="266" w:hRule="atLeast"/>
          <w:jc w:val="center"/>
        </w:trPr>
        <w:tc>
          <w:tcPr>
            <w:tcW w:w="9339" w:type="dxa"/>
            <w:gridSpan w:val="6"/>
            <w:tcBorders>
              <w:top w:val="nil"/>
              <w:left w:val="nil"/>
              <w:bottom w:val="single" w:color="auto" w:sz="4" w:space="0"/>
              <w:right w:val="nil"/>
            </w:tcBorders>
            <w:vAlign w:val="center"/>
          </w:tcPr>
          <w:p>
            <w:pPr>
              <w:widowControl/>
              <w:ind w:left="9316" w:right="120" w:hanging="9316" w:hangingChars="2900"/>
              <w:jc w:val="center"/>
              <w:rPr>
                <w:rFonts w:ascii="黑体" w:hAnsi="黑体" w:eastAsia="黑体"/>
                <w:b/>
                <w:color w:val="000000"/>
                <w:kern w:val="0"/>
                <w:sz w:val="32"/>
                <w:szCs w:val="32"/>
              </w:rPr>
            </w:pPr>
            <w:r>
              <w:rPr>
                <w:rFonts w:hint="eastAsia" w:ascii="黑体" w:hAnsi="黑体" w:eastAsia="黑体"/>
                <w:b/>
                <w:color w:val="000000"/>
                <w:kern w:val="0"/>
                <w:sz w:val="32"/>
                <w:szCs w:val="32"/>
              </w:rPr>
              <w:t>2022</w:t>
            </w:r>
            <w:r>
              <w:rPr>
                <w:rFonts w:ascii="黑体" w:hAnsi="黑体" w:eastAsia="黑体"/>
                <w:b/>
                <w:color w:val="000000"/>
                <w:kern w:val="0"/>
                <w:sz w:val="32"/>
                <w:szCs w:val="32"/>
              </w:rPr>
              <w:t>年项目支出绩效目标表</w:t>
            </w:r>
          </w:p>
          <w:p>
            <w:pPr>
              <w:widowControl/>
              <w:ind w:left="6960" w:right="120" w:hanging="6960" w:hangingChars="2900"/>
              <w:jc w:val="left"/>
              <w:rPr>
                <w:rFonts w:ascii="仿宋_GB2312" w:hAnsi="仿宋" w:eastAsia="仿宋_GB2312"/>
                <w:color w:val="000000"/>
                <w:kern w:val="0"/>
                <w:sz w:val="24"/>
              </w:rPr>
            </w:pPr>
            <w:r>
              <w:rPr>
                <w:rFonts w:hint="eastAsia" w:ascii="仿宋_GB2312" w:hAnsi="仿宋" w:eastAsia="仿宋_GB2312"/>
                <w:kern w:val="0"/>
                <w:sz w:val="24"/>
              </w:rPr>
              <w:t xml:space="preserve">填报单位：衡东县林业局（盖章）              </w:t>
            </w:r>
            <w:r>
              <w:rPr>
                <w:rFonts w:hint="eastAsia" w:ascii="仿宋_GB2312" w:hAnsi="仿宋" w:eastAsia="仿宋_GB2312"/>
                <w:color w:val="000000"/>
                <w:kern w:val="0"/>
                <w:sz w:val="24"/>
              </w:rPr>
              <w:t>单位：万元</w:t>
            </w:r>
          </w:p>
        </w:tc>
      </w:tr>
      <w:tr>
        <w:tblPrEx>
          <w:tblCellMar>
            <w:top w:w="0" w:type="dxa"/>
            <w:left w:w="108" w:type="dxa"/>
            <w:bottom w:w="0" w:type="dxa"/>
            <w:right w:w="108" w:type="dxa"/>
          </w:tblCellMar>
        </w:tblPrEx>
        <w:trPr>
          <w:trHeight w:val="405" w:hRule="atLeast"/>
          <w:jc w:val="center"/>
        </w:trPr>
        <w:tc>
          <w:tcPr>
            <w:tcW w:w="178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项目支出名称</w:t>
            </w:r>
          </w:p>
        </w:tc>
        <w:tc>
          <w:tcPr>
            <w:tcW w:w="2455"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森林火灾风险普查　　</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预算部门</w:t>
            </w:r>
          </w:p>
        </w:tc>
        <w:tc>
          <w:tcPr>
            <w:tcW w:w="2745"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县林业局　</w:t>
            </w:r>
          </w:p>
        </w:tc>
      </w:tr>
      <w:tr>
        <w:tblPrEx>
          <w:tblCellMar>
            <w:top w:w="0" w:type="dxa"/>
            <w:left w:w="108" w:type="dxa"/>
            <w:bottom w:w="0" w:type="dxa"/>
            <w:right w:w="108" w:type="dxa"/>
          </w:tblCellMar>
        </w:tblPrEx>
        <w:trPr>
          <w:trHeight w:val="567" w:hRule="atLeast"/>
          <w:jc w:val="center"/>
        </w:trPr>
        <w:tc>
          <w:tcPr>
            <w:tcW w:w="178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年度本级</w:t>
            </w:r>
          </w:p>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预算金额</w:t>
            </w:r>
          </w:p>
        </w:tc>
        <w:tc>
          <w:tcPr>
            <w:tcW w:w="2455"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61</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该项目支出上级资金</w:t>
            </w:r>
          </w:p>
        </w:tc>
        <w:tc>
          <w:tcPr>
            <w:tcW w:w="2745"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无</w:t>
            </w:r>
          </w:p>
        </w:tc>
      </w:tr>
      <w:tr>
        <w:tblPrEx>
          <w:tblCellMar>
            <w:top w:w="0" w:type="dxa"/>
            <w:left w:w="108" w:type="dxa"/>
            <w:bottom w:w="0" w:type="dxa"/>
            <w:right w:w="108" w:type="dxa"/>
          </w:tblCellMar>
        </w:tblPrEx>
        <w:trPr>
          <w:trHeight w:val="405" w:hRule="atLeast"/>
          <w:jc w:val="center"/>
        </w:trPr>
        <w:tc>
          <w:tcPr>
            <w:tcW w:w="178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项目支出实施期</w:t>
            </w:r>
          </w:p>
        </w:tc>
        <w:tc>
          <w:tcPr>
            <w:tcW w:w="7558" w:type="dxa"/>
            <w:gridSpan w:val="5"/>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2021年11月23日至2022年12月30日</w:t>
            </w:r>
          </w:p>
        </w:tc>
      </w:tr>
      <w:tr>
        <w:tblPrEx>
          <w:tblCellMar>
            <w:top w:w="0" w:type="dxa"/>
            <w:left w:w="108" w:type="dxa"/>
            <w:bottom w:w="0" w:type="dxa"/>
            <w:right w:w="108" w:type="dxa"/>
          </w:tblCellMar>
        </w:tblPrEx>
        <w:trPr>
          <w:trHeight w:val="511" w:hRule="atLeast"/>
          <w:jc w:val="center"/>
        </w:trPr>
        <w:tc>
          <w:tcPr>
            <w:tcW w:w="178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实施期绩效目标</w:t>
            </w:r>
          </w:p>
        </w:tc>
        <w:tc>
          <w:tcPr>
            <w:tcW w:w="7558" w:type="dxa"/>
            <w:gridSpan w:val="5"/>
            <w:tcBorders>
              <w:top w:val="single" w:color="auto" w:sz="4" w:space="0"/>
              <w:left w:val="nil"/>
              <w:bottom w:val="single" w:color="auto" w:sz="4" w:space="0"/>
              <w:right w:val="single" w:color="auto" w:sz="4" w:space="0"/>
            </w:tcBorders>
            <w:vAlign w:val="center"/>
          </w:tcPr>
          <w:p>
            <w:pPr>
              <w:widowControl/>
              <w:spacing w:line="260" w:lineRule="exact"/>
              <w:ind w:firstLine="420" w:firstLineChars="200"/>
              <w:jc w:val="left"/>
              <w:rPr>
                <w:rFonts w:asciiTheme="majorEastAsia" w:hAnsiTheme="majorEastAsia" w:eastAsiaTheme="majorEastAsia"/>
                <w:color w:val="000000"/>
                <w:kern w:val="0"/>
                <w:szCs w:val="21"/>
              </w:rPr>
            </w:pPr>
            <w:r>
              <w:rPr>
                <w:rFonts w:hint="eastAsia" w:asciiTheme="majorEastAsia" w:hAnsiTheme="majorEastAsia" w:eastAsiaTheme="majorEastAsia"/>
                <w:color w:val="000000"/>
                <w:kern w:val="0"/>
                <w:szCs w:val="21"/>
              </w:rPr>
              <w:t>通过组织开展森林火灾风险普查，摸清衡东县森林火灾风险隐患底数，查明重点区域抗灾能力，客观认识衡东县森林火灾风险水平，建立分类型、分区域、分层级的森林火灾风险普查数据库，为有效开展森林火灾防治和应急管理工作提供权威的森林火灾风险信息及科学决策依据。</w:t>
            </w:r>
          </w:p>
        </w:tc>
      </w:tr>
      <w:tr>
        <w:tblPrEx>
          <w:tblCellMar>
            <w:top w:w="0" w:type="dxa"/>
            <w:left w:w="108" w:type="dxa"/>
            <w:bottom w:w="0" w:type="dxa"/>
            <w:right w:w="108" w:type="dxa"/>
          </w:tblCellMar>
        </w:tblPrEx>
        <w:trPr>
          <w:trHeight w:val="840" w:hRule="atLeast"/>
          <w:jc w:val="center"/>
        </w:trPr>
        <w:tc>
          <w:tcPr>
            <w:tcW w:w="178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本年度绩效目标</w:t>
            </w:r>
          </w:p>
        </w:tc>
        <w:tc>
          <w:tcPr>
            <w:tcW w:w="7558" w:type="dxa"/>
            <w:gridSpan w:val="5"/>
            <w:tcBorders>
              <w:top w:val="single" w:color="auto" w:sz="4" w:space="0"/>
              <w:left w:val="nil"/>
              <w:bottom w:val="single" w:color="auto" w:sz="4" w:space="0"/>
              <w:right w:val="single" w:color="auto" w:sz="4" w:space="0"/>
            </w:tcBorders>
            <w:vAlign w:val="center"/>
          </w:tcPr>
          <w:p>
            <w:pPr>
              <w:widowControl/>
              <w:spacing w:line="260" w:lineRule="exact"/>
              <w:ind w:firstLine="420" w:firstLineChars="200"/>
              <w:rPr>
                <w:rFonts w:ascii="仿宋" w:hAnsi="仿宋" w:eastAsia="仿宋"/>
                <w:szCs w:val="21"/>
              </w:rPr>
            </w:pPr>
            <w:r>
              <w:rPr>
                <w:rFonts w:hint="eastAsia" w:ascii="仿宋_GB2312" w:eastAsia="仿宋_GB2312"/>
                <w:color w:val="000000"/>
                <w:kern w:val="0"/>
                <w:szCs w:val="21"/>
              </w:rPr>
              <w:t>编制森林火灾重点隐患分布图（1:5万），森林火灾重点隐患等级分布图（1:5万），形成县级1:5万森林火灾风险分布图、森林火灾风险区划分布图、森林火灾防治区划分布图，森林火灾风险评估与区划分析报告。</w:t>
            </w:r>
          </w:p>
        </w:tc>
      </w:tr>
      <w:tr>
        <w:tblPrEx>
          <w:tblCellMar>
            <w:top w:w="0" w:type="dxa"/>
            <w:left w:w="108" w:type="dxa"/>
            <w:bottom w:w="0" w:type="dxa"/>
            <w:right w:w="108" w:type="dxa"/>
          </w:tblCellMar>
        </w:tblPrEx>
        <w:trPr>
          <w:trHeight w:val="397" w:hRule="atLeast"/>
          <w:jc w:val="center"/>
        </w:trPr>
        <w:tc>
          <w:tcPr>
            <w:tcW w:w="1781" w:type="dxa"/>
            <w:vMerge w:val="restart"/>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本年度</w:t>
            </w:r>
          </w:p>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绩效指标</w:t>
            </w:r>
          </w:p>
        </w:tc>
        <w:tc>
          <w:tcPr>
            <w:tcW w:w="1134"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一级指标</w:t>
            </w:r>
          </w:p>
        </w:tc>
        <w:tc>
          <w:tcPr>
            <w:tcW w:w="1321"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二级指标</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三级指标</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指标值及单位</w:t>
            </w:r>
          </w:p>
        </w:tc>
        <w:tc>
          <w:tcPr>
            <w:tcW w:w="1040"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绩效标准</w:t>
            </w: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321" w:type="dxa"/>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heme="majorEastAsia" w:hAnsiTheme="majorEastAsia" w:eastAsiaTheme="majorEastAsia"/>
                <w:color w:val="000000"/>
                <w:kern w:val="0"/>
                <w:szCs w:val="21"/>
              </w:rPr>
            </w:pPr>
            <w:r>
              <w:rPr>
                <w:rFonts w:hint="eastAsia" w:asciiTheme="majorEastAsia" w:hAnsiTheme="majorEastAsia" w:eastAsiaTheme="majorEastAsia"/>
                <w:color w:val="000000"/>
                <w:kern w:val="0"/>
                <w:szCs w:val="21"/>
              </w:rPr>
              <w:t>危险性调查与评估</w:t>
            </w:r>
          </w:p>
        </w:tc>
        <w:tc>
          <w:tcPr>
            <w:tcW w:w="1705" w:type="dxa"/>
            <w:vMerge w:val="restart"/>
            <w:tcBorders>
              <w:top w:val="single" w:color="auto" w:sz="4" w:space="0"/>
              <w:left w:val="nil"/>
              <w:right w:val="single" w:color="auto" w:sz="4" w:space="0"/>
            </w:tcBorders>
            <w:vAlign w:val="center"/>
          </w:tcPr>
          <w:p>
            <w:pPr>
              <w:widowControl/>
              <w:spacing w:line="260" w:lineRule="exact"/>
              <w:jc w:val="center"/>
              <w:rPr>
                <w:rFonts w:asciiTheme="majorEastAsia" w:hAnsiTheme="majorEastAsia" w:eastAsiaTheme="majorEastAsia"/>
                <w:color w:val="000000"/>
                <w:kern w:val="0"/>
                <w:sz w:val="18"/>
                <w:szCs w:val="18"/>
              </w:rPr>
            </w:pPr>
            <w:bookmarkStart w:id="0" w:name="OLE_LINK2"/>
            <w:r>
              <w:rPr>
                <w:rFonts w:hint="eastAsia" w:asciiTheme="majorEastAsia" w:hAnsiTheme="majorEastAsia" w:eastAsiaTheme="majorEastAsia"/>
                <w:color w:val="000000"/>
                <w:kern w:val="0"/>
                <w:sz w:val="18"/>
                <w:szCs w:val="18"/>
              </w:rPr>
              <w:t>衡东县17个乡镇辖区，26乔木标准地、1个灌木标准地、1个大样地</w:t>
            </w:r>
            <w:bookmarkEnd w:id="0"/>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heme="majorEastAsia" w:hAnsiTheme="majorEastAsia" w:eastAsiaTheme="majorEastAsia"/>
                <w:color w:val="000000"/>
                <w:kern w:val="0"/>
                <w:szCs w:val="21"/>
              </w:rPr>
            </w:pPr>
            <w:r>
              <w:rPr>
                <w:rFonts w:hint="eastAsia" w:asciiTheme="majorEastAsia" w:hAnsiTheme="majorEastAsia" w:eastAsiaTheme="majorEastAsia"/>
                <w:color w:val="000000"/>
                <w:kern w:val="0"/>
                <w:szCs w:val="21"/>
              </w:rPr>
              <w:t>森林火灾重点隐患调查</w:t>
            </w:r>
          </w:p>
        </w:tc>
        <w:tc>
          <w:tcPr>
            <w:tcW w:w="1705" w:type="dxa"/>
            <w:vMerge w:val="continue"/>
            <w:tcBorders>
              <w:left w:val="nil"/>
              <w:right w:val="single" w:color="auto" w:sz="4" w:space="0"/>
            </w:tcBorders>
            <w:vAlign w:val="center"/>
          </w:tcPr>
          <w:p>
            <w:pPr>
              <w:widowControl/>
              <w:spacing w:line="260" w:lineRule="exact"/>
              <w:jc w:val="center"/>
              <w:rPr>
                <w:rFonts w:ascii="黑体" w:hAnsi="黑体" w:eastAsia="黑体"/>
                <w:color w:val="000000"/>
                <w:kern w:val="0"/>
                <w:szCs w:val="21"/>
              </w:rPr>
            </w:pP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heme="majorEastAsia" w:hAnsiTheme="majorEastAsia" w:eastAsiaTheme="majorEastAsia"/>
                <w:color w:val="000000"/>
                <w:kern w:val="0"/>
                <w:szCs w:val="21"/>
              </w:rPr>
            </w:pPr>
            <w:r>
              <w:rPr>
                <w:rFonts w:hint="eastAsia" w:asciiTheme="majorEastAsia" w:hAnsiTheme="majorEastAsia" w:eastAsiaTheme="majorEastAsia"/>
                <w:color w:val="000000"/>
                <w:kern w:val="0"/>
                <w:szCs w:val="21"/>
              </w:rPr>
              <w:t>风险评估与区划</w:t>
            </w:r>
          </w:p>
        </w:tc>
        <w:tc>
          <w:tcPr>
            <w:tcW w:w="1705" w:type="dxa"/>
            <w:vMerge w:val="continue"/>
            <w:tcBorders>
              <w:left w:val="nil"/>
              <w:right w:val="single" w:color="auto" w:sz="4" w:space="0"/>
            </w:tcBorders>
            <w:vAlign w:val="center"/>
          </w:tcPr>
          <w:p>
            <w:pPr>
              <w:widowControl/>
              <w:spacing w:line="260" w:lineRule="exact"/>
              <w:jc w:val="center"/>
              <w:rPr>
                <w:rFonts w:ascii="黑体" w:hAnsi="黑体" w:eastAsia="黑体"/>
                <w:color w:val="000000"/>
                <w:kern w:val="0"/>
                <w:szCs w:val="21"/>
              </w:rPr>
            </w:pP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heme="majorEastAsia" w:hAnsiTheme="majorEastAsia" w:eastAsiaTheme="majorEastAsia"/>
                <w:color w:val="000000"/>
                <w:kern w:val="0"/>
                <w:szCs w:val="21"/>
              </w:rPr>
            </w:pPr>
            <w:r>
              <w:rPr>
                <w:rFonts w:hint="eastAsia" w:asciiTheme="majorEastAsia" w:hAnsiTheme="majorEastAsia" w:eastAsiaTheme="majorEastAsia"/>
                <w:color w:val="000000"/>
                <w:kern w:val="0"/>
                <w:szCs w:val="21"/>
              </w:rPr>
              <w:t>承灾体调查</w:t>
            </w:r>
          </w:p>
        </w:tc>
        <w:tc>
          <w:tcPr>
            <w:tcW w:w="1705" w:type="dxa"/>
            <w:vMerge w:val="continue"/>
            <w:tcBorders>
              <w:left w:val="nil"/>
              <w:right w:val="single" w:color="auto" w:sz="4" w:space="0"/>
            </w:tcBorders>
            <w:vAlign w:val="center"/>
          </w:tcPr>
          <w:p>
            <w:pPr>
              <w:widowControl/>
              <w:spacing w:line="260" w:lineRule="exact"/>
              <w:jc w:val="center"/>
              <w:rPr>
                <w:rFonts w:ascii="黑体" w:hAnsi="黑体" w:eastAsia="黑体"/>
                <w:color w:val="000000"/>
                <w:kern w:val="0"/>
                <w:szCs w:val="21"/>
              </w:rPr>
            </w:pP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Theme="majorEastAsia" w:hAnsiTheme="majorEastAsia" w:eastAsiaTheme="majorEastAsia"/>
                <w:color w:val="000000"/>
                <w:kern w:val="0"/>
                <w:szCs w:val="21"/>
              </w:rPr>
            </w:pPr>
            <w:r>
              <w:rPr>
                <w:rFonts w:hint="eastAsia" w:asciiTheme="majorEastAsia" w:hAnsiTheme="majorEastAsia" w:eastAsiaTheme="majorEastAsia"/>
                <w:color w:val="000000"/>
                <w:kern w:val="0"/>
                <w:szCs w:val="21"/>
              </w:rPr>
              <w:t>历史灾害调查</w:t>
            </w:r>
          </w:p>
        </w:tc>
        <w:tc>
          <w:tcPr>
            <w:tcW w:w="1705" w:type="dxa"/>
            <w:vMerge w:val="continue"/>
            <w:tcBorders>
              <w:left w:val="nil"/>
              <w:bottom w:val="single" w:color="auto" w:sz="4" w:space="0"/>
              <w:right w:val="single" w:color="auto" w:sz="4" w:space="0"/>
            </w:tcBorders>
            <w:vAlign w:val="center"/>
          </w:tcPr>
          <w:p>
            <w:pPr>
              <w:widowControl/>
              <w:spacing w:line="260" w:lineRule="exact"/>
              <w:jc w:val="center"/>
              <w:rPr>
                <w:rFonts w:ascii="黑体" w:hAnsi="黑体" w:eastAsia="黑体"/>
                <w:color w:val="000000"/>
                <w:kern w:val="0"/>
                <w:szCs w:val="21"/>
              </w:rPr>
            </w:pP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　森林火灾下降</w:t>
            </w:r>
            <w:r>
              <w:rPr>
                <w:rFonts w:hint="eastAsia" w:ascii="黑体" w:hAnsi="黑体" w:eastAsia="黑体" w:cs="仿宋"/>
                <w:szCs w:val="21"/>
              </w:rPr>
              <w:t>率</w:t>
            </w:r>
            <w:r>
              <w:rPr>
                <w:rFonts w:hint="eastAsia" w:ascii="仿宋_GB2312" w:eastAsia="仿宋_GB2312"/>
                <w:color w:val="000000"/>
                <w:kern w:val="0"/>
                <w:szCs w:val="21"/>
              </w:rPr>
              <w:t>　</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16</w:t>
            </w:r>
            <w:r>
              <w:rPr>
                <w:rFonts w:hint="eastAsia" w:ascii="微软雅黑" w:hAnsi="微软雅黑" w:eastAsia="微软雅黑"/>
                <w:color w:val="000000"/>
                <w:kern w:val="0"/>
                <w:szCs w:val="21"/>
              </w:rPr>
              <w:t>％</w:t>
            </w:r>
          </w:p>
        </w:tc>
        <w:tc>
          <w:tcPr>
            <w:tcW w:w="1040" w:type="dxa"/>
            <w:tcBorders>
              <w:top w:val="single" w:color="auto" w:sz="4" w:space="0"/>
              <w:left w:val="nil"/>
              <w:bottom w:val="single" w:color="auto" w:sz="4" w:space="0"/>
              <w:right w:val="single" w:color="auto" w:sz="4" w:space="0"/>
            </w:tcBorders>
          </w:tcPr>
          <w:p>
            <w:pPr>
              <w:widowControl/>
              <w:spacing w:line="260" w:lineRule="exact"/>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时效指标</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完成时间</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2022年12月</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bookmarkStart w:id="1" w:name="OLE_LINK1" w:colFirst="3" w:colLast="3"/>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restart"/>
            <w:tcBorders>
              <w:top w:val="single" w:color="auto" w:sz="4" w:space="0"/>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r>
              <w:rPr>
                <w:rFonts w:hint="eastAsia" w:ascii="仿宋_GB2312" w:eastAsia="仿宋_GB2312"/>
                <w:color w:val="000000"/>
                <w:kern w:val="0"/>
                <w:szCs w:val="21"/>
              </w:rPr>
              <w:t>成本指标</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差旅费</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15.524</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劳务费</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rPr>
              <w:t>22.</w:t>
            </w:r>
            <w:r>
              <w:rPr>
                <w:rFonts w:hint="eastAsia" w:ascii="仿宋_GB2312" w:eastAsia="仿宋_GB2312"/>
                <w:color w:val="000000"/>
                <w:kern w:val="0"/>
                <w:szCs w:val="21"/>
                <w:lang w:val="en-US" w:eastAsia="zh-CN"/>
              </w:rPr>
              <w:t>29</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工具损耗</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0.696</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tcBorders>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租车费</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hAnsi="宋体" w:cs="宋体"/>
                <w:kern w:val="0"/>
                <w:szCs w:val="21"/>
              </w:rPr>
            </w:pPr>
            <w:r>
              <w:rPr>
                <w:rFonts w:hint="eastAsia" w:ascii="宋体" w:hAnsi="宋体" w:cs="宋体"/>
                <w:kern w:val="0"/>
                <w:szCs w:val="21"/>
              </w:rPr>
              <w:t>4.35</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制作费用</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hAnsi="宋体" w:cs="宋体"/>
                <w:kern w:val="0"/>
                <w:szCs w:val="21"/>
              </w:rPr>
            </w:pPr>
            <w:r>
              <w:rPr>
                <w:rFonts w:hint="eastAsia" w:ascii="宋体" w:hAnsi="宋体" w:cs="宋体"/>
                <w:kern w:val="0"/>
                <w:szCs w:val="21"/>
              </w:rPr>
              <w:t>2.0</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标准地、大样地外业检查综合费</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hAnsi="宋体" w:cs="宋体"/>
                <w:kern w:val="0"/>
                <w:szCs w:val="21"/>
              </w:rPr>
            </w:pPr>
            <w:r>
              <w:rPr>
                <w:rFonts w:hint="eastAsia" w:ascii="宋体" w:hAnsi="宋体" w:cs="宋体"/>
                <w:kern w:val="0"/>
                <w:szCs w:val="21"/>
              </w:rPr>
              <w:t>6.0</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委托业务费</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hAnsi="宋体" w:cs="宋体"/>
                <w:kern w:val="0"/>
                <w:szCs w:val="21"/>
              </w:rPr>
            </w:pPr>
            <w:r>
              <w:rPr>
                <w:rFonts w:hint="eastAsia" w:ascii="宋体" w:hAnsi="宋体" w:cs="宋体"/>
                <w:kern w:val="0"/>
                <w:szCs w:val="21"/>
              </w:rPr>
              <w:t>0.51</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编制费、审查费、印刷费</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hAnsi="宋体" w:cs="宋体"/>
                <w:kern w:val="0"/>
                <w:szCs w:val="21"/>
              </w:rPr>
            </w:pPr>
            <w:r>
              <w:rPr>
                <w:rFonts w:hint="eastAsia" w:ascii="宋体" w:hAnsi="宋体" w:cs="宋体"/>
                <w:kern w:val="0"/>
                <w:szCs w:val="21"/>
              </w:rPr>
              <w:t>5.4</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实验器材试验费</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hAnsi="宋体" w:cs="宋体"/>
                <w:kern w:val="0"/>
                <w:szCs w:val="21"/>
              </w:rPr>
            </w:pPr>
            <w:r>
              <w:rPr>
                <w:rFonts w:hint="eastAsia" w:ascii="宋体" w:hAnsi="宋体" w:cs="宋体"/>
                <w:kern w:val="0"/>
                <w:szCs w:val="21"/>
              </w:rPr>
              <w:t>2.98</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培训费</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hAnsi="宋体" w:cs="宋体"/>
                <w:kern w:val="0"/>
                <w:szCs w:val="21"/>
              </w:rPr>
            </w:pPr>
            <w:r>
              <w:rPr>
                <w:rFonts w:hint="eastAsia" w:ascii="宋体" w:hAnsi="宋体" w:cs="宋体"/>
                <w:kern w:val="0"/>
                <w:szCs w:val="21"/>
              </w:rPr>
              <w:t>0.8</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321" w:type="dxa"/>
            <w:vMerge w:val="continue"/>
            <w:tcBorders>
              <w:left w:val="single" w:color="auto" w:sz="4" w:space="0"/>
              <w:bottom w:val="single" w:color="auto" w:sz="4" w:space="0"/>
              <w:right w:val="single" w:color="auto" w:sz="4" w:space="0"/>
            </w:tcBorders>
            <w:vAlign w:val="center"/>
          </w:tcPr>
          <w:p>
            <w:pPr>
              <w:widowControl/>
              <w:spacing w:line="260" w:lineRule="exact"/>
              <w:jc w:val="distribute"/>
              <w:rPr>
                <w:rFonts w:ascii="仿宋_GB2312" w:eastAsia="仿宋_GB2312"/>
                <w:color w:val="000000"/>
                <w:kern w:val="0"/>
                <w:szCs w:val="21"/>
              </w:rPr>
            </w:pP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eastAsia="仿宋_GB2312"/>
                <w:color w:val="000000"/>
                <w:kern w:val="0"/>
                <w:szCs w:val="21"/>
              </w:rPr>
            </w:pPr>
            <w:r>
              <w:rPr>
                <w:rFonts w:hint="eastAsia" w:ascii="仿宋_GB2312" w:eastAsia="仿宋_GB2312"/>
                <w:color w:val="000000"/>
                <w:kern w:val="0"/>
                <w:szCs w:val="21"/>
              </w:rPr>
              <w:t>野外保险</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hAnsi="宋体" w:cs="宋体"/>
                <w:kern w:val="0"/>
                <w:szCs w:val="21"/>
              </w:rPr>
            </w:pPr>
            <w:r>
              <w:rPr>
                <w:rFonts w:hint="eastAsia" w:ascii="宋体" w:hAnsi="宋体" w:cs="宋体"/>
                <w:kern w:val="0"/>
                <w:szCs w:val="21"/>
              </w:rPr>
              <w:t>0.45</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bookmarkEnd w:id="1"/>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restart"/>
            <w:tcBorders>
              <w:top w:val="single" w:color="auto" w:sz="4" w:space="0"/>
              <w:left w:val="single" w:color="auto" w:sz="4" w:space="0"/>
              <w:bottom w:val="single" w:color="000000" w:sz="4" w:space="0"/>
              <w:right w:val="single" w:color="000000"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效益指标</w:t>
            </w:r>
          </w:p>
        </w:tc>
        <w:tc>
          <w:tcPr>
            <w:tcW w:w="1321" w:type="dxa"/>
            <w:tcBorders>
              <w:top w:val="single" w:color="auto" w:sz="4" w:space="0"/>
              <w:left w:val="single" w:color="auto" w:sz="4" w:space="0"/>
              <w:bottom w:val="single" w:color="000000" w:sz="4" w:space="0"/>
              <w:right w:val="single" w:color="000000" w:sz="4" w:space="0"/>
            </w:tcBorders>
            <w:vAlign w:val="center"/>
          </w:tcPr>
          <w:p>
            <w:pPr>
              <w:widowControl/>
              <w:spacing w:line="260" w:lineRule="exact"/>
              <w:jc w:val="center"/>
              <w:rPr>
                <w:rFonts w:ascii="仿宋_GB2312" w:eastAsia="仿宋_GB2312"/>
                <w:color w:val="000000"/>
                <w:kern w:val="0"/>
                <w:sz w:val="18"/>
                <w:szCs w:val="18"/>
              </w:rPr>
            </w:pPr>
            <w:r>
              <w:rPr>
                <w:rFonts w:hint="eastAsia" w:ascii="仿宋_GB2312" w:eastAsia="仿宋_GB2312"/>
                <w:color w:val="000000"/>
                <w:kern w:val="0"/>
                <w:sz w:val="18"/>
                <w:szCs w:val="18"/>
              </w:rPr>
              <w:t>社会效益指标</w:t>
            </w:r>
          </w:p>
        </w:tc>
        <w:tc>
          <w:tcPr>
            <w:tcW w:w="2358" w:type="dxa"/>
            <w:tcBorders>
              <w:top w:val="single" w:color="auto" w:sz="4" w:space="0"/>
              <w:left w:val="nil"/>
              <w:bottom w:val="single" w:color="auto" w:sz="4" w:space="0"/>
              <w:right w:val="single" w:color="000000"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预防森林火灾</w:t>
            </w:r>
          </w:p>
        </w:tc>
        <w:tc>
          <w:tcPr>
            <w:tcW w:w="1705" w:type="dxa"/>
            <w:tcBorders>
              <w:top w:val="single" w:color="auto" w:sz="4" w:space="0"/>
              <w:left w:val="nil"/>
              <w:bottom w:val="single" w:color="auto" w:sz="4" w:space="0"/>
              <w:right w:val="single" w:color="000000"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受害率0.9‰以内　</w:t>
            </w:r>
          </w:p>
        </w:tc>
        <w:tc>
          <w:tcPr>
            <w:tcW w:w="1040" w:type="dxa"/>
            <w:tcBorders>
              <w:top w:val="single" w:color="auto" w:sz="4" w:space="0"/>
              <w:left w:val="nil"/>
              <w:bottom w:val="single" w:color="auto" w:sz="4" w:space="0"/>
              <w:right w:val="single" w:color="000000"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top w:val="single" w:color="auto" w:sz="4" w:space="0"/>
              <w:left w:val="single" w:color="auto" w:sz="4" w:space="0"/>
              <w:bottom w:val="single" w:color="000000" w:sz="4" w:space="0"/>
              <w:right w:val="single" w:color="000000" w:sz="4" w:space="0"/>
            </w:tcBorders>
            <w:vAlign w:val="center"/>
          </w:tcPr>
          <w:p>
            <w:pPr>
              <w:widowControl/>
              <w:spacing w:line="260" w:lineRule="exact"/>
              <w:jc w:val="center"/>
              <w:rPr>
                <w:rFonts w:ascii="仿宋_GB2312" w:eastAsia="仿宋_GB2312"/>
                <w:color w:val="000000"/>
                <w:kern w:val="0"/>
                <w:szCs w:val="21"/>
              </w:rPr>
            </w:pPr>
          </w:p>
        </w:tc>
        <w:tc>
          <w:tcPr>
            <w:tcW w:w="132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 w:val="18"/>
                <w:szCs w:val="18"/>
              </w:rPr>
            </w:pPr>
            <w:r>
              <w:rPr>
                <w:rFonts w:hint="eastAsia" w:ascii="仿宋_GB2312" w:eastAsia="仿宋_GB2312"/>
                <w:color w:val="000000"/>
                <w:kern w:val="0"/>
                <w:sz w:val="18"/>
                <w:szCs w:val="18"/>
              </w:rPr>
              <w:t>生态效益指标</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保护森林资源</w:t>
            </w:r>
          </w:p>
        </w:tc>
        <w:tc>
          <w:tcPr>
            <w:tcW w:w="1705"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 w:val="18"/>
                <w:szCs w:val="18"/>
              </w:rPr>
            </w:pPr>
            <w:r>
              <w:rPr>
                <w:rFonts w:hint="eastAsia" w:ascii="黑体" w:hAnsi="黑体" w:eastAsia="黑体" w:cs="仿宋"/>
                <w:sz w:val="18"/>
                <w:szCs w:val="18"/>
              </w:rPr>
              <w:t>提高保护森林资源能力</w:t>
            </w:r>
          </w:p>
        </w:tc>
        <w:tc>
          <w:tcPr>
            <w:tcW w:w="1040" w:type="dxa"/>
            <w:tcBorders>
              <w:top w:val="single" w:color="auto" w:sz="4" w:space="0"/>
              <w:left w:val="nil"/>
              <w:bottom w:val="single" w:color="auto" w:sz="4" w:space="0"/>
              <w:right w:val="single" w:color="auto" w:sz="4" w:space="0"/>
            </w:tcBorders>
          </w:tcPr>
          <w:p>
            <w:pPr>
              <w:widowControl/>
              <w:spacing w:line="260" w:lineRule="exact"/>
              <w:jc w:val="center"/>
              <w:rPr>
                <w:rFonts w:ascii="仿宋_GB2312" w:eastAsia="仿宋_GB2312"/>
                <w:color w:val="000000"/>
                <w:kern w:val="0"/>
                <w:szCs w:val="21"/>
              </w:rPr>
            </w:pPr>
          </w:p>
        </w:tc>
      </w:tr>
      <w:tr>
        <w:tblPrEx>
          <w:tblCellMar>
            <w:top w:w="0" w:type="dxa"/>
            <w:left w:w="108" w:type="dxa"/>
            <w:bottom w:w="0" w:type="dxa"/>
            <w:right w:w="108" w:type="dxa"/>
          </w:tblCellMar>
        </w:tblPrEx>
        <w:trPr>
          <w:trHeight w:val="397" w:hRule="atLeast"/>
          <w:jc w:val="center"/>
        </w:trPr>
        <w:tc>
          <w:tcPr>
            <w:tcW w:w="178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1134" w:type="dxa"/>
            <w:vMerge w:val="continue"/>
            <w:tcBorders>
              <w:top w:val="single" w:color="auto" w:sz="4" w:space="0"/>
              <w:left w:val="single" w:color="auto" w:sz="4" w:space="0"/>
              <w:bottom w:val="single" w:color="000000" w:sz="4" w:space="0"/>
              <w:right w:val="single" w:color="000000" w:sz="4" w:space="0"/>
            </w:tcBorders>
            <w:vAlign w:val="center"/>
          </w:tcPr>
          <w:p>
            <w:pPr>
              <w:widowControl/>
              <w:spacing w:line="260" w:lineRule="exact"/>
              <w:jc w:val="center"/>
              <w:rPr>
                <w:rFonts w:ascii="仿宋_GB2312" w:eastAsia="仿宋_GB2312"/>
                <w:color w:val="000000"/>
                <w:kern w:val="0"/>
                <w:szCs w:val="21"/>
              </w:rPr>
            </w:pPr>
          </w:p>
        </w:tc>
        <w:tc>
          <w:tcPr>
            <w:tcW w:w="132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 w:val="18"/>
                <w:szCs w:val="18"/>
              </w:rPr>
            </w:pPr>
            <w:r>
              <w:rPr>
                <w:rFonts w:hint="eastAsia" w:ascii="仿宋_GB2312" w:eastAsia="仿宋_GB2312"/>
                <w:color w:val="000000"/>
                <w:kern w:val="0"/>
                <w:sz w:val="18"/>
                <w:szCs w:val="18"/>
              </w:rPr>
              <w:t>社会公众或服务对象满意度指标</w:t>
            </w:r>
          </w:p>
        </w:tc>
        <w:tc>
          <w:tcPr>
            <w:tcW w:w="235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群众对森林资源保护满意度提升</w:t>
            </w:r>
          </w:p>
        </w:tc>
        <w:tc>
          <w:tcPr>
            <w:tcW w:w="1705"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Cs w:val="21"/>
              </w:rPr>
            </w:pPr>
            <w:r>
              <w:rPr>
                <w:rFonts w:hint="eastAsia" w:ascii="仿宋_GB2312" w:eastAsia="仿宋_GB2312"/>
                <w:color w:val="000000"/>
                <w:szCs w:val="21"/>
              </w:rPr>
              <w:t>98%</w:t>
            </w:r>
          </w:p>
          <w:p>
            <w:pPr>
              <w:jc w:val="center"/>
              <w:rPr>
                <w:rFonts w:ascii="仿宋_GB2312" w:eastAsia="仿宋_GB2312"/>
                <w:kern w:val="0"/>
                <w:szCs w:val="21"/>
              </w:rPr>
            </w:pPr>
          </w:p>
        </w:tc>
        <w:tc>
          <w:tcPr>
            <w:tcW w:w="1040"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r>
    </w:tbl>
    <w:p>
      <w:pPr>
        <w:widowControl/>
        <w:spacing w:line="260" w:lineRule="exact"/>
        <w:rPr>
          <w:rFonts w:ascii="仿宋_GB2312" w:eastAsia="仿宋_GB2312"/>
          <w:color w:val="000000"/>
          <w:kern w:val="0"/>
          <w:szCs w:val="21"/>
        </w:rPr>
      </w:pPr>
      <w:r>
        <w:rPr>
          <w:rFonts w:hint="eastAsia" w:ascii="仿宋_GB2312" w:eastAsia="仿宋_GB2312"/>
          <w:color w:val="000000"/>
          <w:kern w:val="0"/>
          <w:szCs w:val="21"/>
        </w:rPr>
        <w:t>填表人：董国红  联系电话：15116803768  填报日期： 2022.5.19  单位负责人签字：</w:t>
      </w:r>
    </w:p>
    <w:sectPr>
      <w:pgSz w:w="11906" w:h="16838"/>
      <w:pgMar w:top="1134" w:right="1588"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48F4"/>
    <w:rsid w:val="000034B5"/>
    <w:rsid w:val="00025112"/>
    <w:rsid w:val="00062BC4"/>
    <w:rsid w:val="000D0132"/>
    <w:rsid w:val="00100673"/>
    <w:rsid w:val="00125138"/>
    <w:rsid w:val="00172C6C"/>
    <w:rsid w:val="00204989"/>
    <w:rsid w:val="002557A2"/>
    <w:rsid w:val="002A469F"/>
    <w:rsid w:val="002A5DDE"/>
    <w:rsid w:val="002A6DC2"/>
    <w:rsid w:val="002F4B73"/>
    <w:rsid w:val="0038733C"/>
    <w:rsid w:val="004133F0"/>
    <w:rsid w:val="004E48F4"/>
    <w:rsid w:val="00537810"/>
    <w:rsid w:val="005A28DB"/>
    <w:rsid w:val="005D38A3"/>
    <w:rsid w:val="00644F1B"/>
    <w:rsid w:val="00665A34"/>
    <w:rsid w:val="006739CA"/>
    <w:rsid w:val="00674C98"/>
    <w:rsid w:val="006940AA"/>
    <w:rsid w:val="006D0CB0"/>
    <w:rsid w:val="007B650C"/>
    <w:rsid w:val="007C116F"/>
    <w:rsid w:val="007C2444"/>
    <w:rsid w:val="00804CB9"/>
    <w:rsid w:val="0081105B"/>
    <w:rsid w:val="00836C7E"/>
    <w:rsid w:val="0089248F"/>
    <w:rsid w:val="008A6DE3"/>
    <w:rsid w:val="009454D3"/>
    <w:rsid w:val="00993019"/>
    <w:rsid w:val="009A5E25"/>
    <w:rsid w:val="009D4A58"/>
    <w:rsid w:val="009F277B"/>
    <w:rsid w:val="009F3331"/>
    <w:rsid w:val="00A34A68"/>
    <w:rsid w:val="00A62FF1"/>
    <w:rsid w:val="00A709D6"/>
    <w:rsid w:val="00A93365"/>
    <w:rsid w:val="00AF088F"/>
    <w:rsid w:val="00B46037"/>
    <w:rsid w:val="00B60374"/>
    <w:rsid w:val="00BD2E84"/>
    <w:rsid w:val="00BE457B"/>
    <w:rsid w:val="00C9269B"/>
    <w:rsid w:val="00CB7184"/>
    <w:rsid w:val="00CB77CC"/>
    <w:rsid w:val="00CD5FA6"/>
    <w:rsid w:val="00CE7003"/>
    <w:rsid w:val="00D13A85"/>
    <w:rsid w:val="00D21C4F"/>
    <w:rsid w:val="00D46421"/>
    <w:rsid w:val="00DB6518"/>
    <w:rsid w:val="00DC1769"/>
    <w:rsid w:val="00DE4442"/>
    <w:rsid w:val="00E023C9"/>
    <w:rsid w:val="00E37622"/>
    <w:rsid w:val="00E73776"/>
    <w:rsid w:val="00E87942"/>
    <w:rsid w:val="00EA756F"/>
    <w:rsid w:val="00ED7814"/>
    <w:rsid w:val="00F81E5E"/>
    <w:rsid w:val="00F84D22"/>
    <w:rsid w:val="00F94ADE"/>
    <w:rsid w:val="05DD4AB3"/>
    <w:rsid w:val="14511880"/>
    <w:rsid w:val="149E53BE"/>
    <w:rsid w:val="14F75EFF"/>
    <w:rsid w:val="3EE8023A"/>
    <w:rsid w:val="431F24DE"/>
    <w:rsid w:val="569B1A00"/>
    <w:rsid w:val="69C82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unhideWhenUsed/>
    <w:qFormat/>
    <w:uiPriority w:val="99"/>
    <w:pPr>
      <w:spacing w:before="100" w:beforeAutospacing="1" w:after="100" w:afterAutospacing="1"/>
      <w:ind w:left="20"/>
      <w:jc w:val="left"/>
    </w:pPr>
    <w:rPr>
      <w:rFonts w:ascii="宋体" w:hAnsi="宋体" w:cs="宋体"/>
      <w:kern w:val="0"/>
      <w:sz w:val="33"/>
      <w:szCs w:val="33"/>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kern w:val="2"/>
      <w:sz w:val="18"/>
      <w:szCs w:val="18"/>
    </w:rPr>
  </w:style>
  <w:style w:type="character" w:customStyle="1" w:styleId="8">
    <w:name w:val="页脚 Char"/>
    <w:basedOn w:val="6"/>
    <w:link w:val="3"/>
    <w:qFormat/>
    <w:uiPriority w:val="0"/>
    <w:rPr>
      <w:kern w:val="2"/>
      <w:sz w:val="18"/>
      <w:szCs w:val="18"/>
    </w:rPr>
  </w:style>
  <w:style w:type="character" w:customStyle="1" w:styleId="9">
    <w:name w:val="正文文本 Char"/>
    <w:basedOn w:val="6"/>
    <w:link w:val="2"/>
    <w:uiPriority w:val="99"/>
    <w:rPr>
      <w:rFonts w:ascii="宋体" w:hAnsi="宋体" w:cs="宋体"/>
      <w:sz w:val="33"/>
      <w:szCs w:val="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F821F3-23AF-4CE4-8043-14413794F3D8}">
  <ds:schemaRefs/>
</ds:datastoreItem>
</file>

<file path=docProps/app.xml><?xml version="1.0" encoding="utf-8"?>
<Properties xmlns="http://schemas.openxmlformats.org/officeDocument/2006/extended-properties" xmlns:vt="http://schemas.openxmlformats.org/officeDocument/2006/docPropsVTypes">
  <Template>Normal</Template>
  <Pages>1</Pages>
  <Words>137</Words>
  <Characters>781</Characters>
  <Lines>6</Lines>
  <Paragraphs>1</Paragraphs>
  <TotalTime>200</TotalTime>
  <ScaleCrop>false</ScaleCrop>
  <LinksUpToDate>false</LinksUpToDate>
  <CharactersWithSpaces>917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2022-05-18T02:17:00Z</dcterms:created>
  <dc:creator>Administrator</dc:creator>
  <cp:lastModifiedBy>Administrator</cp:lastModifiedBy>
  <cp:lastPrinted>2020-07-09T03:37:00Z</cp:lastPrinted>
  <dcterms:modified xsi:type="dcterms:W3CDTF">2022-05-27T08:17:06Z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