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spacing w:line="360" w:lineRule="auto"/>
        <w:jc w:val="center"/>
        <w:textAlignment w:val="auto"/>
        <w:rPr>
          <w:rFonts w:hint="eastAsia" w:ascii="黑体" w:hAnsi="黑体" w:eastAsia="黑体" w:cs="黑体"/>
          <w:b/>
          <w:bCs/>
          <w:sz w:val="44"/>
          <w:szCs w:val="44"/>
        </w:rPr>
      </w:pPr>
      <w:r>
        <w:rPr>
          <w:rFonts w:hint="eastAsia" w:ascii="黑体" w:hAnsi="黑体" w:eastAsia="黑体" w:cs="黑体"/>
          <w:b/>
          <w:bCs/>
          <w:sz w:val="44"/>
          <w:szCs w:val="44"/>
          <w:lang w:val="en-US" w:eastAsia="zh-CN"/>
        </w:rPr>
        <w:t>衡东县机关事务和接待中心</w:t>
      </w:r>
      <w:bookmarkStart w:id="0" w:name="_GoBack"/>
      <w:bookmarkEnd w:id="0"/>
      <w:r>
        <w:rPr>
          <w:rFonts w:hint="eastAsia" w:ascii="黑体" w:hAnsi="黑体" w:eastAsia="黑体" w:cs="黑体"/>
          <w:b/>
          <w:bCs/>
          <w:sz w:val="44"/>
          <w:szCs w:val="44"/>
        </w:rPr>
        <w:t>20</w:t>
      </w:r>
      <w:r>
        <w:rPr>
          <w:rFonts w:hint="eastAsia" w:ascii="黑体" w:hAnsi="黑体" w:eastAsia="黑体" w:cs="黑体"/>
          <w:b/>
          <w:bCs/>
          <w:sz w:val="44"/>
          <w:szCs w:val="44"/>
          <w:lang w:val="en-US" w:eastAsia="zh-CN"/>
        </w:rPr>
        <w:t>23</w:t>
      </w:r>
      <w:r>
        <w:rPr>
          <w:rFonts w:hint="eastAsia" w:ascii="黑体" w:hAnsi="黑体" w:eastAsia="黑体" w:cs="黑体"/>
          <w:b/>
          <w:bCs/>
          <w:sz w:val="44"/>
          <w:szCs w:val="44"/>
        </w:rPr>
        <w:t>年度部门整体支出绩效自评报告</w:t>
      </w:r>
    </w:p>
    <w:p>
      <w:pPr>
        <w:keepNext w:val="0"/>
        <w:keepLines w:val="0"/>
        <w:pageBreakBefore w:val="0"/>
        <w:widowControl w:val="0"/>
        <w:kinsoku/>
        <w:wordWrap/>
        <w:overflowPunct/>
        <w:topLinePunct w:val="0"/>
        <w:autoSpaceDE/>
        <w:autoSpaceDN/>
        <w:bidi w:val="0"/>
        <w:spacing w:line="360" w:lineRule="auto"/>
        <w:jc w:val="center"/>
        <w:textAlignment w:val="auto"/>
        <w:rPr>
          <w:rFonts w:hint="eastAsia"/>
        </w:rPr>
      </w:pPr>
    </w:p>
    <w:p>
      <w:pPr>
        <w:keepNext w:val="0"/>
        <w:keepLines w:val="0"/>
        <w:pageBreakBefore w:val="0"/>
        <w:widowControl w:val="0"/>
        <w:kinsoku/>
        <w:wordWrap/>
        <w:overflowPunct/>
        <w:topLinePunct w:val="0"/>
        <w:autoSpaceDE/>
        <w:autoSpaceDN/>
        <w:bidi w:val="0"/>
        <w:spacing w:line="36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val="0"/>
        <w:snapToGrid w:val="0"/>
        <w:spacing w:line="360" w:lineRule="auto"/>
        <w:ind w:firstLine="321" w:firstLineChars="100"/>
        <w:textAlignment w:val="auto"/>
        <w:rPr>
          <w:rFonts w:hint="eastAsia" w:ascii="黑体" w:hAnsi="黑体" w:eastAsia="黑体" w:cs="黑体"/>
          <w:b/>
          <w:bCs/>
          <w:sz w:val="32"/>
          <w:szCs w:val="32"/>
        </w:rPr>
      </w:pPr>
      <w:r>
        <w:rPr>
          <w:rFonts w:hint="eastAsia" w:ascii="黑体" w:hAnsi="黑体" w:eastAsia="黑体" w:cs="黑体"/>
          <w:b/>
          <w:bCs/>
          <w:sz w:val="32"/>
          <w:szCs w:val="32"/>
        </w:rPr>
        <w:t>一、单位基本情况</w:t>
      </w:r>
    </w:p>
    <w:p>
      <w:pPr>
        <w:keepNext w:val="0"/>
        <w:keepLines w:val="0"/>
        <w:pageBreakBefore w:val="0"/>
        <w:widowControl w:val="0"/>
        <w:kinsoku/>
        <w:wordWrap/>
        <w:overflowPunct/>
        <w:topLinePunct w:val="0"/>
        <w:autoSpaceDE/>
        <w:autoSpaceDN/>
        <w:bidi w:val="0"/>
        <w:adjustRightInd w:val="0"/>
        <w:snapToGrid w:val="0"/>
        <w:spacing w:line="360" w:lineRule="auto"/>
        <w:ind w:firstLine="321" w:firstLineChars="100"/>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（一）部门主要</w:t>
      </w:r>
      <w:r>
        <w:rPr>
          <w:rFonts w:hint="eastAsia" w:ascii="仿宋" w:hAnsi="仿宋" w:eastAsia="仿宋" w:cs="仿宋"/>
          <w:b/>
          <w:bCs/>
          <w:sz w:val="32"/>
          <w:szCs w:val="32"/>
        </w:rPr>
        <w:t>职责</w:t>
      </w: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1、负责做好规定范围内来衡重要客人的接待服务工作。协助县直机关各单位和各乡镇做好重要来宾接待工作。</w:t>
      </w: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2、负责对全县公务用车使用进行监管，会同有关部门制定全县公务用车管理办法并负责组织实施。</w:t>
      </w: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3、负责对全县公务用房使用进行监管；承担办公用房及其他经营性国有资产的日常租赁及经营性收入的收缴、大中型维修、危旧房改造等事务性工作。</w:t>
      </w: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4、会同有关部门制定县直机关、事业单位、国有企业及由衡东承办的中央、省、市大型会议的会务管理制度并负责组织实施；协助、指导和监督做好武家山会务服务所的会务服务及会务费收缴工作。</w:t>
      </w: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5、负责县直机关、事业单位、国有企业办公设施设备及用品的统一配备、日常维护与处置工作；负责需向社会购买服务的广告、印刷、网络使用等业务的统一招投标工作。</w:t>
      </w: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6、负责县委、县人大、县政府、县政协机关所在区域和生活区域的物业管理及信访维稳工作；会同有关部门做好县直机关各单位和各乡镇的物业管理工作。</w:t>
      </w: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lang w:val="en-US" w:eastAsia="zh-CN"/>
        </w:rPr>
      </w:pPr>
      <w:r>
        <w:rPr>
          <w:rFonts w:hint="default" w:ascii="仿宋" w:hAnsi="仿宋" w:eastAsia="仿宋" w:cs="仿宋"/>
          <w:sz w:val="32"/>
          <w:szCs w:val="32"/>
          <w:lang w:val="en-US" w:eastAsia="zh-CN"/>
        </w:rPr>
        <w:t>7、负责统筹推进全县公共机构节能工作；负责监督全县公共机构节能管理工作；组织开展全县公共机构能耗统计、监测和评价考核工作；负责全县公共机构节能技术改造工作。</w:t>
      </w:r>
    </w:p>
    <w:p>
      <w:pPr>
        <w:keepNext w:val="0"/>
        <w:keepLines w:val="0"/>
        <w:pageBreakBefore w:val="0"/>
        <w:widowControl w:val="0"/>
        <w:kinsoku/>
        <w:wordWrap/>
        <w:overflowPunct/>
        <w:topLinePunct w:val="0"/>
        <w:autoSpaceDE/>
        <w:autoSpaceDN/>
        <w:bidi w:val="0"/>
        <w:adjustRightInd w:val="0"/>
        <w:snapToGrid w:val="0"/>
        <w:spacing w:line="360" w:lineRule="auto"/>
        <w:ind w:firstLine="321" w:firstLineChars="1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（二）人员编制情况</w:t>
      </w:r>
    </w:p>
    <w:p>
      <w:pPr>
        <w:pStyle w:val="2"/>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2023年度单位共有编制数48个。其中，在编在岗人员33人。</w:t>
      </w:r>
    </w:p>
    <w:p>
      <w:pPr>
        <w:pStyle w:val="2"/>
        <w:rPr>
          <w:rFonts w:hint="eastAsia"/>
        </w:rPr>
      </w:pPr>
    </w:p>
    <w:p>
      <w:pPr>
        <w:keepNext w:val="0"/>
        <w:keepLines w:val="0"/>
        <w:pageBreakBefore w:val="0"/>
        <w:widowControl w:val="0"/>
        <w:kinsoku/>
        <w:wordWrap/>
        <w:overflowPunct/>
        <w:topLinePunct w:val="0"/>
        <w:autoSpaceDE/>
        <w:autoSpaceDN/>
        <w:bidi w:val="0"/>
        <w:adjustRightInd w:val="0"/>
        <w:snapToGrid w:val="0"/>
        <w:spacing w:line="360" w:lineRule="auto"/>
        <w:ind w:firstLine="321" w:firstLineChars="100"/>
        <w:textAlignment w:val="auto"/>
        <w:rPr>
          <w:rFonts w:hint="eastAsia" w:ascii="黑体" w:hAnsi="黑体" w:eastAsia="黑体" w:cs="黑体"/>
          <w:sz w:val="32"/>
          <w:szCs w:val="32"/>
        </w:rPr>
      </w:pPr>
      <w:r>
        <w:rPr>
          <w:rFonts w:hint="eastAsia" w:ascii="黑体" w:hAnsi="黑体" w:eastAsia="黑体" w:cs="黑体"/>
          <w:b/>
          <w:bCs/>
          <w:sz w:val="32"/>
          <w:szCs w:val="32"/>
        </w:rPr>
        <w:t>二、预算支出</w:t>
      </w:r>
      <w:r>
        <w:rPr>
          <w:rFonts w:hint="eastAsia" w:ascii="黑体" w:hAnsi="黑体" w:eastAsia="黑体" w:cs="黑体"/>
          <w:b/>
          <w:bCs/>
          <w:sz w:val="32"/>
          <w:szCs w:val="32"/>
          <w:lang w:val="en-US" w:eastAsia="zh-CN"/>
        </w:rPr>
        <w:t>及绩效</w:t>
      </w:r>
      <w:r>
        <w:rPr>
          <w:rFonts w:hint="eastAsia" w:ascii="黑体" w:hAnsi="黑体" w:eastAsia="黑体" w:cs="黑体"/>
          <w:b/>
          <w:bCs/>
          <w:sz w:val="32"/>
          <w:szCs w:val="32"/>
        </w:rPr>
        <w:t>情况</w:t>
      </w:r>
    </w:p>
    <w:p>
      <w:pPr>
        <w:keepNext w:val="0"/>
        <w:keepLines w:val="0"/>
        <w:pageBreakBefore w:val="0"/>
        <w:widowControl w:val="0"/>
        <w:kinsoku/>
        <w:wordWrap/>
        <w:overflowPunct/>
        <w:topLinePunct w:val="0"/>
        <w:autoSpaceDE/>
        <w:autoSpaceDN/>
        <w:bidi w:val="0"/>
        <w:adjustRightInd w:val="0"/>
        <w:snapToGrid w:val="0"/>
        <w:spacing w:line="360" w:lineRule="auto"/>
        <w:ind w:firstLine="321" w:firstLineChars="100"/>
        <w:textAlignment w:val="auto"/>
        <w:rPr>
          <w:rFonts w:hint="eastAsia" w:ascii="仿宋" w:hAnsi="仿宋" w:eastAsia="仿宋" w:cs="仿宋"/>
          <w:b/>
          <w:bCs/>
          <w:sz w:val="32"/>
          <w:szCs w:val="32"/>
        </w:rPr>
      </w:pPr>
      <w:r>
        <w:rPr>
          <w:rFonts w:hint="eastAsia" w:ascii="仿宋" w:hAnsi="仿宋" w:eastAsia="仿宋" w:cs="仿宋"/>
          <w:b/>
          <w:bCs/>
          <w:sz w:val="32"/>
          <w:szCs w:val="32"/>
        </w:rPr>
        <w:t>（一）</w:t>
      </w:r>
      <w:r>
        <w:rPr>
          <w:rFonts w:hint="eastAsia" w:ascii="仿宋" w:hAnsi="仿宋" w:eastAsia="仿宋" w:cs="仿宋"/>
          <w:b/>
          <w:bCs/>
          <w:sz w:val="32"/>
          <w:szCs w:val="32"/>
          <w:lang w:val="en-US" w:eastAsia="zh-CN"/>
        </w:rPr>
        <w:t>部门</w:t>
      </w:r>
      <w:r>
        <w:rPr>
          <w:rFonts w:hint="eastAsia" w:ascii="仿宋" w:hAnsi="仿宋" w:eastAsia="仿宋" w:cs="仿宋"/>
          <w:b/>
          <w:bCs/>
          <w:sz w:val="32"/>
          <w:szCs w:val="32"/>
        </w:rPr>
        <w:t>预决算情况</w:t>
      </w:r>
    </w:p>
    <w:p>
      <w:pPr>
        <w:keepNext w:val="0"/>
        <w:keepLines w:val="0"/>
        <w:pageBreakBefore w:val="0"/>
        <w:widowControl w:val="0"/>
        <w:kinsoku/>
        <w:wordWrap/>
        <w:overflowPunct/>
        <w:topLinePunct w:val="0"/>
        <w:autoSpaceDE/>
        <w:autoSpaceDN/>
        <w:bidi w:val="0"/>
        <w:adjustRightInd w:val="0"/>
        <w:snapToGrid w:val="0"/>
        <w:spacing w:line="360" w:lineRule="auto"/>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1.部门</w:t>
      </w:r>
      <w:r>
        <w:rPr>
          <w:rFonts w:hint="eastAsia" w:ascii="仿宋" w:hAnsi="仿宋" w:eastAsia="仿宋" w:cs="仿宋"/>
          <w:b/>
          <w:bCs/>
          <w:sz w:val="32"/>
          <w:szCs w:val="32"/>
        </w:rPr>
        <w:t>预算情况</w:t>
      </w: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w:t>
      </w:r>
      <w:r>
        <w:rPr>
          <w:rFonts w:hint="eastAsia" w:ascii="仿宋" w:hAnsi="仿宋" w:eastAsia="仿宋" w:cs="仿宋"/>
          <w:sz w:val="32"/>
          <w:szCs w:val="32"/>
          <w:lang w:val="en-US" w:eastAsia="zh-CN"/>
        </w:rPr>
        <w:t>23</w:t>
      </w:r>
      <w:r>
        <w:rPr>
          <w:rFonts w:hint="eastAsia" w:ascii="仿宋" w:hAnsi="仿宋" w:eastAsia="仿宋" w:cs="仿宋"/>
          <w:sz w:val="32"/>
          <w:szCs w:val="32"/>
        </w:rPr>
        <w:t>年年初预算安排收入</w:t>
      </w:r>
      <w:r>
        <w:rPr>
          <w:rFonts w:hint="eastAsia" w:ascii="仿宋" w:hAnsi="仿宋" w:eastAsia="仿宋" w:cs="仿宋"/>
          <w:sz w:val="32"/>
          <w:szCs w:val="32"/>
          <w:lang w:val="en-US" w:eastAsia="zh-CN"/>
        </w:rPr>
        <w:t>1496.52</w:t>
      </w:r>
      <w:r>
        <w:rPr>
          <w:rFonts w:hint="eastAsia" w:ascii="仿宋" w:hAnsi="仿宋" w:eastAsia="仿宋" w:cs="仿宋"/>
          <w:sz w:val="32"/>
          <w:szCs w:val="32"/>
        </w:rPr>
        <w:t>万元，其中一般公共财政拨款</w:t>
      </w:r>
      <w:r>
        <w:rPr>
          <w:rFonts w:hint="eastAsia" w:ascii="仿宋" w:hAnsi="仿宋" w:eastAsia="仿宋" w:cs="仿宋"/>
          <w:sz w:val="32"/>
          <w:szCs w:val="32"/>
          <w:lang w:val="en-US" w:eastAsia="zh-CN"/>
        </w:rPr>
        <w:t>1496.52</w:t>
      </w:r>
      <w:r>
        <w:rPr>
          <w:rFonts w:hint="eastAsia" w:ascii="仿宋" w:hAnsi="仿宋" w:eastAsia="仿宋" w:cs="仿宋"/>
          <w:sz w:val="32"/>
          <w:szCs w:val="32"/>
        </w:rPr>
        <w:t>万元；20</w:t>
      </w:r>
      <w:r>
        <w:rPr>
          <w:rFonts w:hint="eastAsia" w:ascii="仿宋" w:hAnsi="仿宋" w:eastAsia="仿宋" w:cs="仿宋"/>
          <w:sz w:val="32"/>
          <w:szCs w:val="32"/>
          <w:lang w:val="en-US" w:eastAsia="zh-CN"/>
        </w:rPr>
        <w:t>23</w:t>
      </w:r>
      <w:r>
        <w:rPr>
          <w:rFonts w:hint="eastAsia" w:ascii="仿宋" w:hAnsi="仿宋" w:eastAsia="仿宋" w:cs="仿宋"/>
          <w:sz w:val="32"/>
          <w:szCs w:val="32"/>
        </w:rPr>
        <w:t>年年初预算安排支出</w:t>
      </w:r>
      <w:r>
        <w:rPr>
          <w:rFonts w:hint="eastAsia" w:ascii="仿宋" w:hAnsi="仿宋" w:eastAsia="仿宋" w:cs="仿宋"/>
          <w:sz w:val="32"/>
          <w:szCs w:val="32"/>
          <w:lang w:val="en-US" w:eastAsia="zh-CN"/>
        </w:rPr>
        <w:t>1496.52</w:t>
      </w:r>
      <w:r>
        <w:rPr>
          <w:rFonts w:hint="eastAsia" w:ascii="仿宋" w:hAnsi="仿宋" w:eastAsia="仿宋" w:cs="仿宋"/>
          <w:sz w:val="32"/>
          <w:szCs w:val="32"/>
        </w:rPr>
        <w:t>万元，其中：基本支出</w:t>
      </w:r>
      <w:r>
        <w:rPr>
          <w:rFonts w:hint="eastAsia" w:ascii="仿宋" w:hAnsi="仿宋" w:eastAsia="仿宋" w:cs="仿宋"/>
          <w:sz w:val="32"/>
          <w:szCs w:val="32"/>
          <w:lang w:val="en-US" w:eastAsia="zh-CN"/>
        </w:rPr>
        <w:t>426.52</w:t>
      </w:r>
      <w:r>
        <w:rPr>
          <w:rFonts w:hint="eastAsia" w:ascii="仿宋" w:hAnsi="仿宋" w:eastAsia="仿宋" w:cs="仿宋"/>
          <w:sz w:val="32"/>
          <w:szCs w:val="32"/>
        </w:rPr>
        <w:t>万元，项目支出</w:t>
      </w:r>
      <w:r>
        <w:rPr>
          <w:rFonts w:hint="eastAsia" w:ascii="仿宋" w:hAnsi="仿宋" w:eastAsia="仿宋" w:cs="仿宋"/>
          <w:sz w:val="32"/>
          <w:szCs w:val="32"/>
          <w:lang w:val="en-US" w:eastAsia="zh-CN"/>
        </w:rPr>
        <w:t>1070</w:t>
      </w:r>
      <w:r>
        <w:rPr>
          <w:rFonts w:hint="eastAsia" w:ascii="仿宋" w:hAnsi="仿宋" w:eastAsia="仿宋" w:cs="仿宋"/>
          <w:sz w:val="32"/>
          <w:szCs w:val="32"/>
        </w:rPr>
        <w:t>万元。</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3" w:firstLineChars="200"/>
        <w:textAlignment w:val="auto"/>
        <w:rPr>
          <w:rFonts w:hint="eastAsia" w:ascii="仿宋" w:hAnsi="仿宋" w:eastAsia="仿宋" w:cs="仿宋"/>
          <w:b/>
          <w:bCs/>
          <w:sz w:val="32"/>
          <w:szCs w:val="32"/>
          <w:lang w:eastAsia="zh-CN"/>
        </w:rPr>
      </w:pPr>
      <w:r>
        <w:rPr>
          <w:rFonts w:hint="eastAsia" w:ascii="仿宋" w:hAnsi="仿宋" w:eastAsia="仿宋" w:cs="仿宋"/>
          <w:b/>
          <w:bCs/>
          <w:sz w:val="32"/>
          <w:szCs w:val="32"/>
          <w:lang w:val="en-US" w:eastAsia="zh-CN"/>
        </w:rPr>
        <w:t>2.部门</w:t>
      </w:r>
      <w:r>
        <w:rPr>
          <w:rFonts w:hint="eastAsia" w:ascii="仿宋" w:hAnsi="仿宋" w:eastAsia="仿宋" w:cs="仿宋"/>
          <w:b/>
          <w:bCs/>
          <w:sz w:val="32"/>
          <w:szCs w:val="32"/>
        </w:rPr>
        <w:t>决算情况</w:t>
      </w:r>
      <w:r>
        <w:rPr>
          <w:rFonts w:hint="eastAsia" w:ascii="仿宋" w:hAnsi="仿宋" w:eastAsia="仿宋" w:cs="仿宋"/>
          <w:b/>
          <w:bCs/>
          <w:sz w:val="32"/>
          <w:szCs w:val="32"/>
          <w:lang w:eastAsia="zh-CN"/>
        </w:rPr>
        <w:t>（</w:t>
      </w:r>
      <w:r>
        <w:rPr>
          <w:rFonts w:hint="eastAsia" w:ascii="仿宋" w:hAnsi="仿宋" w:eastAsia="仿宋" w:cs="仿宋"/>
          <w:b/>
          <w:bCs/>
          <w:sz w:val="32"/>
          <w:szCs w:val="32"/>
          <w:lang w:val="en-US" w:eastAsia="zh-CN"/>
        </w:rPr>
        <w:t>含年中预算追加情况</w:t>
      </w:r>
      <w:r>
        <w:rPr>
          <w:rFonts w:hint="eastAsia" w:ascii="仿宋" w:hAnsi="仿宋" w:eastAsia="仿宋" w:cs="仿宋"/>
          <w:b/>
          <w:bCs/>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default" w:ascii="仿宋" w:hAnsi="仿宋" w:eastAsia="仿宋" w:cs="仿宋"/>
          <w:sz w:val="32"/>
          <w:szCs w:val="32"/>
          <w:lang w:val="en-US"/>
        </w:rPr>
      </w:pPr>
      <w:r>
        <w:rPr>
          <w:rFonts w:hint="eastAsia" w:ascii="仿宋" w:hAnsi="仿宋" w:eastAsia="仿宋" w:cs="仿宋"/>
          <w:sz w:val="32"/>
          <w:szCs w:val="32"/>
          <w:lang w:val="en-US" w:eastAsia="zh-CN"/>
        </w:rPr>
        <w:t>2023</w:t>
      </w:r>
      <w:r>
        <w:rPr>
          <w:rFonts w:hint="eastAsia" w:ascii="仿宋" w:hAnsi="仿宋" w:eastAsia="仿宋" w:cs="仿宋"/>
          <w:sz w:val="32"/>
          <w:szCs w:val="32"/>
        </w:rPr>
        <w:t>年决算总收入</w:t>
      </w:r>
      <w:r>
        <w:rPr>
          <w:rFonts w:hint="eastAsia" w:ascii="仿宋" w:hAnsi="仿宋" w:eastAsia="仿宋" w:cs="仿宋"/>
          <w:sz w:val="32"/>
          <w:szCs w:val="32"/>
          <w:lang w:val="en-US" w:eastAsia="zh-CN"/>
        </w:rPr>
        <w:t>2499.24</w:t>
      </w:r>
      <w:r>
        <w:rPr>
          <w:rFonts w:hint="eastAsia" w:ascii="仿宋" w:hAnsi="仿宋" w:eastAsia="仿宋" w:cs="仿宋"/>
          <w:sz w:val="32"/>
          <w:szCs w:val="32"/>
        </w:rPr>
        <w:t>万元，较预算增加</w:t>
      </w:r>
      <w:r>
        <w:rPr>
          <w:rFonts w:hint="eastAsia" w:ascii="仿宋" w:hAnsi="仿宋" w:eastAsia="仿宋" w:cs="仿宋"/>
          <w:sz w:val="32"/>
          <w:szCs w:val="32"/>
          <w:lang w:val="en-US" w:eastAsia="zh-CN"/>
        </w:rPr>
        <w:t>1002.72</w:t>
      </w:r>
      <w:r>
        <w:rPr>
          <w:rFonts w:hint="eastAsia" w:ascii="仿宋" w:hAnsi="仿宋" w:eastAsia="仿宋" w:cs="仿宋"/>
          <w:sz w:val="32"/>
          <w:szCs w:val="32"/>
        </w:rPr>
        <w:t>万元，总支出</w:t>
      </w:r>
      <w:r>
        <w:rPr>
          <w:rFonts w:hint="eastAsia" w:ascii="仿宋" w:hAnsi="仿宋" w:eastAsia="仿宋" w:cs="仿宋"/>
          <w:sz w:val="32"/>
          <w:szCs w:val="32"/>
          <w:lang w:val="en-US" w:eastAsia="zh-CN"/>
        </w:rPr>
        <w:t>2499.24</w:t>
      </w:r>
      <w:r>
        <w:rPr>
          <w:rFonts w:hint="eastAsia" w:ascii="仿宋" w:hAnsi="仿宋" w:eastAsia="仿宋" w:cs="仿宋"/>
          <w:sz w:val="32"/>
          <w:szCs w:val="32"/>
        </w:rPr>
        <w:t>万元，其中：基本支出</w:t>
      </w:r>
      <w:r>
        <w:rPr>
          <w:rFonts w:hint="eastAsia" w:ascii="仿宋" w:hAnsi="仿宋" w:eastAsia="仿宋" w:cs="仿宋"/>
          <w:sz w:val="32"/>
          <w:szCs w:val="32"/>
          <w:lang w:val="en-US" w:eastAsia="zh-CN"/>
        </w:rPr>
        <w:t>394.62</w:t>
      </w:r>
      <w:r>
        <w:rPr>
          <w:rFonts w:hint="eastAsia" w:ascii="仿宋" w:hAnsi="仿宋" w:eastAsia="仿宋" w:cs="仿宋"/>
          <w:sz w:val="32"/>
          <w:szCs w:val="32"/>
        </w:rPr>
        <w:t>万元，占总支出的</w:t>
      </w:r>
      <w:r>
        <w:rPr>
          <w:rFonts w:hint="eastAsia" w:ascii="仿宋" w:hAnsi="仿宋" w:eastAsia="仿宋" w:cs="仿宋"/>
          <w:sz w:val="32"/>
          <w:szCs w:val="32"/>
          <w:lang w:val="en-US" w:eastAsia="zh-CN"/>
        </w:rPr>
        <w:t>15.79</w:t>
      </w:r>
      <w:r>
        <w:rPr>
          <w:rFonts w:hint="eastAsia" w:ascii="仿宋" w:hAnsi="仿宋" w:eastAsia="仿宋" w:cs="仿宋"/>
          <w:sz w:val="32"/>
          <w:szCs w:val="32"/>
        </w:rPr>
        <w:t>％</w:t>
      </w:r>
      <w:r>
        <w:rPr>
          <w:rFonts w:hint="eastAsia" w:ascii="仿宋" w:hAnsi="仿宋" w:eastAsia="仿宋" w:cs="仿宋"/>
          <w:sz w:val="32"/>
          <w:szCs w:val="32"/>
          <w:lang w:val="en-US" w:eastAsia="zh-CN"/>
        </w:rPr>
        <w:t>;</w:t>
      </w:r>
      <w:r>
        <w:rPr>
          <w:rFonts w:hint="eastAsia" w:ascii="仿宋" w:hAnsi="仿宋" w:eastAsia="仿宋" w:cs="仿宋"/>
          <w:sz w:val="32"/>
          <w:szCs w:val="32"/>
        </w:rPr>
        <w:t>项目支出</w:t>
      </w:r>
      <w:r>
        <w:rPr>
          <w:rFonts w:hint="eastAsia" w:ascii="仿宋" w:hAnsi="仿宋" w:eastAsia="仿宋" w:cs="仿宋"/>
          <w:sz w:val="32"/>
          <w:szCs w:val="32"/>
          <w:lang w:val="en-US" w:eastAsia="zh-CN"/>
        </w:rPr>
        <w:t>2104.62</w:t>
      </w:r>
      <w:r>
        <w:rPr>
          <w:rFonts w:hint="eastAsia" w:ascii="仿宋" w:hAnsi="仿宋" w:eastAsia="仿宋" w:cs="仿宋"/>
          <w:sz w:val="32"/>
          <w:szCs w:val="32"/>
        </w:rPr>
        <w:t>万元，占总支出的</w:t>
      </w:r>
      <w:r>
        <w:rPr>
          <w:rFonts w:hint="eastAsia" w:ascii="仿宋" w:hAnsi="仿宋" w:eastAsia="仿宋" w:cs="仿宋"/>
          <w:sz w:val="32"/>
          <w:szCs w:val="32"/>
          <w:lang w:val="en-US" w:eastAsia="zh-CN"/>
        </w:rPr>
        <w:t>84.21</w:t>
      </w:r>
      <w:r>
        <w:rPr>
          <w:rFonts w:hint="eastAsia" w:ascii="仿宋" w:hAnsi="仿宋" w:eastAsia="仿宋" w:cs="仿宋"/>
          <w:sz w:val="32"/>
          <w:szCs w:val="32"/>
        </w:rPr>
        <w:t>％。</w:t>
      </w:r>
      <w:r>
        <w:rPr>
          <w:rFonts w:hint="eastAsia" w:ascii="仿宋" w:hAnsi="仿宋" w:eastAsia="仿宋" w:cs="仿宋"/>
          <w:sz w:val="32"/>
          <w:szCs w:val="32"/>
          <w:lang w:val="en-US" w:eastAsia="zh-CN"/>
        </w:rPr>
        <w:t>基本支出</w:t>
      </w:r>
      <w:r>
        <w:rPr>
          <w:rFonts w:hint="eastAsia" w:ascii="仿宋" w:hAnsi="仿宋" w:eastAsia="仿宋" w:cs="仿宋"/>
          <w:sz w:val="32"/>
          <w:szCs w:val="32"/>
        </w:rPr>
        <w:t>差异产生的主要原因是</w:t>
      </w:r>
      <w:r>
        <w:rPr>
          <w:rFonts w:hint="eastAsia" w:ascii="仿宋" w:hAnsi="仿宋" w:eastAsia="仿宋" w:cs="仿宋"/>
          <w:sz w:val="32"/>
          <w:szCs w:val="32"/>
          <w:lang w:val="en-US" w:eastAsia="zh-CN"/>
        </w:rPr>
        <w:t>本年度单位人员减少，基本支出开支减少了；项目支出差异产生的主要原因本年度项目经费追加了1034.62万元。</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3.</w:t>
      </w:r>
      <w:r>
        <w:rPr>
          <w:rFonts w:hint="eastAsia" w:ascii="仿宋" w:hAnsi="仿宋" w:eastAsia="仿宋" w:cs="仿宋"/>
          <w:b/>
          <w:bCs/>
          <w:sz w:val="32"/>
          <w:szCs w:val="32"/>
        </w:rPr>
        <w:t>“三公"经费执行情况</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2023年</w:t>
      </w:r>
      <w:r>
        <w:rPr>
          <w:rFonts w:hint="eastAsia" w:ascii="仿宋" w:hAnsi="仿宋" w:eastAsia="仿宋" w:cs="仿宋"/>
          <w:sz w:val="32"/>
          <w:szCs w:val="32"/>
        </w:rPr>
        <w:t>“三公"经费预算数</w:t>
      </w:r>
      <w:r>
        <w:rPr>
          <w:rFonts w:hint="eastAsia" w:ascii="仿宋" w:hAnsi="仿宋" w:eastAsia="仿宋" w:cs="仿宋"/>
          <w:sz w:val="32"/>
          <w:szCs w:val="32"/>
          <w:lang w:val="en-US" w:eastAsia="zh-CN"/>
        </w:rPr>
        <w:t>568</w:t>
      </w:r>
      <w:r>
        <w:rPr>
          <w:rFonts w:hint="eastAsia" w:ascii="仿宋" w:hAnsi="仿宋" w:eastAsia="仿宋" w:cs="仿宋"/>
          <w:sz w:val="32"/>
          <w:szCs w:val="32"/>
        </w:rPr>
        <w:t>万元，其中：因公出国（境）费</w:t>
      </w:r>
      <w:r>
        <w:rPr>
          <w:rFonts w:hint="eastAsia" w:ascii="仿宋" w:hAnsi="仿宋" w:eastAsia="仿宋" w:cs="仿宋"/>
          <w:sz w:val="32"/>
          <w:szCs w:val="32"/>
          <w:lang w:val="en-US" w:eastAsia="zh-CN"/>
        </w:rPr>
        <w:t>0</w:t>
      </w:r>
      <w:r>
        <w:rPr>
          <w:rFonts w:hint="eastAsia" w:ascii="仿宋" w:hAnsi="仿宋" w:eastAsia="仿宋" w:cs="仿宋"/>
          <w:sz w:val="32"/>
          <w:szCs w:val="32"/>
        </w:rPr>
        <w:t>万元，公务用车购置及运行维护费</w:t>
      </w:r>
      <w:r>
        <w:rPr>
          <w:rFonts w:hint="eastAsia" w:ascii="仿宋" w:hAnsi="仿宋" w:eastAsia="仿宋" w:cs="仿宋"/>
          <w:sz w:val="32"/>
          <w:szCs w:val="32"/>
          <w:lang w:val="en-US" w:eastAsia="zh-CN"/>
        </w:rPr>
        <w:t>360</w:t>
      </w:r>
      <w:r>
        <w:rPr>
          <w:rFonts w:hint="eastAsia" w:ascii="仿宋" w:hAnsi="仿宋" w:eastAsia="仿宋" w:cs="仿宋"/>
          <w:sz w:val="32"/>
          <w:szCs w:val="32"/>
        </w:rPr>
        <w:t>万元，公务接待费</w:t>
      </w:r>
      <w:r>
        <w:rPr>
          <w:rFonts w:hint="eastAsia" w:ascii="仿宋" w:hAnsi="仿宋" w:eastAsia="仿宋" w:cs="仿宋"/>
          <w:sz w:val="32"/>
          <w:szCs w:val="32"/>
          <w:lang w:val="en-US" w:eastAsia="zh-CN"/>
        </w:rPr>
        <w:t>208</w:t>
      </w:r>
      <w:r>
        <w:rPr>
          <w:rFonts w:hint="eastAsia" w:ascii="仿宋" w:hAnsi="仿宋" w:eastAsia="仿宋" w:cs="仿宋"/>
          <w:sz w:val="32"/>
          <w:szCs w:val="32"/>
        </w:rPr>
        <w:t>万元。“三公"经费决算数</w:t>
      </w:r>
      <w:r>
        <w:rPr>
          <w:rFonts w:hint="eastAsia" w:ascii="仿宋" w:hAnsi="仿宋" w:eastAsia="仿宋" w:cs="仿宋"/>
          <w:sz w:val="32"/>
          <w:szCs w:val="32"/>
          <w:lang w:val="en-US" w:eastAsia="zh-CN"/>
        </w:rPr>
        <w:t>410.96</w:t>
      </w:r>
      <w:r>
        <w:rPr>
          <w:rFonts w:hint="eastAsia" w:ascii="仿宋" w:hAnsi="仿宋" w:eastAsia="仿宋" w:cs="仿宋"/>
          <w:sz w:val="32"/>
          <w:szCs w:val="32"/>
        </w:rPr>
        <w:t>元，其中：因公出国（境）费</w:t>
      </w:r>
      <w:r>
        <w:rPr>
          <w:rFonts w:hint="eastAsia" w:ascii="仿宋" w:hAnsi="仿宋" w:eastAsia="仿宋" w:cs="仿宋"/>
          <w:sz w:val="32"/>
          <w:szCs w:val="32"/>
          <w:lang w:val="en-US" w:eastAsia="zh-CN"/>
        </w:rPr>
        <w:t>0</w:t>
      </w:r>
      <w:r>
        <w:rPr>
          <w:rFonts w:hint="eastAsia" w:ascii="仿宋" w:hAnsi="仿宋" w:eastAsia="仿宋" w:cs="仿宋"/>
          <w:sz w:val="32"/>
          <w:szCs w:val="32"/>
        </w:rPr>
        <w:t>万元，公务用车运行维护费</w:t>
      </w:r>
      <w:r>
        <w:rPr>
          <w:rFonts w:hint="eastAsia" w:ascii="仿宋" w:hAnsi="仿宋" w:eastAsia="仿宋" w:cs="仿宋"/>
          <w:sz w:val="32"/>
          <w:szCs w:val="32"/>
          <w:lang w:val="en-US" w:eastAsia="zh-CN"/>
        </w:rPr>
        <w:t>251.13</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追加了公务用车购置105.98万元，年初未预算</w:t>
      </w:r>
      <w:r>
        <w:rPr>
          <w:rFonts w:hint="eastAsia" w:ascii="仿宋" w:hAnsi="仿宋" w:eastAsia="仿宋" w:cs="仿宋"/>
          <w:sz w:val="32"/>
          <w:szCs w:val="32"/>
          <w:lang w:eastAsia="zh-CN"/>
        </w:rPr>
        <w:t>）</w:t>
      </w:r>
      <w:r>
        <w:rPr>
          <w:rFonts w:hint="eastAsia" w:ascii="仿宋" w:hAnsi="仿宋" w:eastAsia="仿宋" w:cs="仿宋"/>
          <w:sz w:val="32"/>
          <w:szCs w:val="32"/>
        </w:rPr>
        <w:t>，公务接待费</w:t>
      </w:r>
      <w:r>
        <w:rPr>
          <w:rFonts w:hint="eastAsia" w:ascii="仿宋" w:hAnsi="仿宋" w:eastAsia="仿宋" w:cs="仿宋"/>
          <w:sz w:val="32"/>
          <w:szCs w:val="32"/>
          <w:lang w:val="en-US" w:eastAsia="zh-CN"/>
        </w:rPr>
        <w:t>159.83</w:t>
      </w:r>
      <w:r>
        <w:rPr>
          <w:rFonts w:hint="eastAsia" w:ascii="仿宋" w:hAnsi="仿宋" w:eastAsia="仿宋" w:cs="仿宋"/>
          <w:sz w:val="32"/>
          <w:szCs w:val="32"/>
        </w:rPr>
        <w:t>万元</w:t>
      </w:r>
      <w:r>
        <w:rPr>
          <w:rFonts w:hint="eastAsia" w:ascii="仿宋" w:hAnsi="仿宋" w:eastAsia="仿宋" w:cs="仿宋"/>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4.</w:t>
      </w:r>
      <w:r>
        <w:rPr>
          <w:rFonts w:hint="eastAsia" w:ascii="仿宋" w:hAnsi="仿宋" w:eastAsia="仿宋" w:cs="仿宋"/>
          <w:b/>
          <w:bCs/>
          <w:sz w:val="32"/>
          <w:szCs w:val="32"/>
        </w:rPr>
        <w:t>政府采购执行情况</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w:t>
      </w:r>
      <w:r>
        <w:rPr>
          <w:rFonts w:hint="eastAsia" w:ascii="仿宋" w:hAnsi="仿宋" w:eastAsia="仿宋" w:cs="仿宋"/>
          <w:sz w:val="32"/>
          <w:szCs w:val="32"/>
          <w:lang w:val="en-US" w:eastAsia="zh-CN"/>
        </w:rPr>
        <w:t>23</w:t>
      </w:r>
      <w:r>
        <w:rPr>
          <w:rFonts w:hint="eastAsia" w:ascii="仿宋" w:hAnsi="仿宋" w:eastAsia="仿宋" w:cs="仿宋"/>
          <w:sz w:val="32"/>
          <w:szCs w:val="32"/>
        </w:rPr>
        <w:t>年度政府采购支出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万元，其中：货物</w:t>
      </w:r>
      <w:r>
        <w:rPr>
          <w:rFonts w:hint="eastAsia" w:ascii="仿宋" w:hAnsi="仿宋" w:eastAsia="仿宋" w:cs="仿宋"/>
          <w:sz w:val="32"/>
          <w:szCs w:val="32"/>
          <w:lang w:val="en-US" w:eastAsia="zh-CN"/>
        </w:rPr>
        <w:t>0</w:t>
      </w:r>
      <w:r>
        <w:rPr>
          <w:rFonts w:hint="eastAsia" w:ascii="仿宋" w:hAnsi="仿宋" w:eastAsia="仿宋" w:cs="仿宋"/>
          <w:sz w:val="32"/>
          <w:szCs w:val="32"/>
        </w:rPr>
        <w:t>元，工程</w:t>
      </w:r>
      <w:r>
        <w:rPr>
          <w:rFonts w:hint="eastAsia" w:ascii="仿宋" w:hAnsi="仿宋" w:eastAsia="仿宋" w:cs="仿宋"/>
          <w:sz w:val="32"/>
          <w:szCs w:val="32"/>
          <w:lang w:val="en-US" w:eastAsia="zh-CN"/>
        </w:rPr>
        <w:t>0</w:t>
      </w:r>
      <w:r>
        <w:rPr>
          <w:rFonts w:hint="eastAsia" w:ascii="仿宋" w:hAnsi="仿宋" w:eastAsia="仿宋" w:cs="仿宋"/>
          <w:sz w:val="32"/>
          <w:szCs w:val="32"/>
        </w:rPr>
        <w:t>万元，服务</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5.</w:t>
      </w:r>
      <w:r>
        <w:rPr>
          <w:rFonts w:hint="eastAsia" w:ascii="仿宋" w:hAnsi="仿宋" w:eastAsia="仿宋" w:cs="仿宋"/>
          <w:b/>
          <w:bCs/>
          <w:sz w:val="32"/>
          <w:szCs w:val="32"/>
        </w:rPr>
        <w:t>资产管理情况</w:t>
      </w: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w:t>
      </w:r>
      <w:r>
        <w:rPr>
          <w:rFonts w:hint="eastAsia" w:ascii="仿宋" w:hAnsi="仿宋" w:eastAsia="仿宋" w:cs="仿宋"/>
          <w:sz w:val="32"/>
          <w:szCs w:val="32"/>
          <w:lang w:val="en-US" w:eastAsia="zh-CN"/>
        </w:rPr>
        <w:t>23</w:t>
      </w:r>
      <w:r>
        <w:rPr>
          <w:rFonts w:hint="eastAsia" w:ascii="仿宋" w:hAnsi="仿宋" w:eastAsia="仿宋" w:cs="仿宋"/>
          <w:sz w:val="32"/>
          <w:szCs w:val="32"/>
        </w:rPr>
        <w:t>年年末资产总额</w:t>
      </w:r>
      <w:r>
        <w:rPr>
          <w:rFonts w:hint="eastAsia" w:ascii="仿宋" w:hAnsi="仿宋" w:eastAsia="仿宋" w:cs="仿宋"/>
          <w:sz w:val="32"/>
          <w:szCs w:val="32"/>
          <w:lang w:val="en-US" w:eastAsia="zh-CN"/>
        </w:rPr>
        <w:t>389.77</w:t>
      </w:r>
      <w:r>
        <w:rPr>
          <w:rFonts w:hint="eastAsia" w:ascii="仿宋" w:hAnsi="仿宋" w:eastAsia="仿宋" w:cs="仿宋"/>
          <w:sz w:val="32"/>
          <w:szCs w:val="32"/>
        </w:rPr>
        <w:t>万元，负债总额</w:t>
      </w:r>
      <w:r>
        <w:rPr>
          <w:rFonts w:hint="eastAsia" w:ascii="仿宋" w:hAnsi="仿宋" w:eastAsia="仿宋" w:cs="仿宋"/>
          <w:sz w:val="32"/>
          <w:szCs w:val="32"/>
          <w:lang w:val="en-US" w:eastAsia="zh-CN"/>
        </w:rPr>
        <w:t>18.54</w:t>
      </w:r>
      <w:r>
        <w:rPr>
          <w:rFonts w:hint="eastAsia" w:ascii="仿宋" w:hAnsi="仿宋" w:eastAsia="仿宋" w:cs="仿宋"/>
          <w:sz w:val="32"/>
          <w:szCs w:val="32"/>
        </w:rPr>
        <w:t>万元，净资产</w:t>
      </w:r>
      <w:r>
        <w:rPr>
          <w:rFonts w:hint="eastAsia" w:ascii="仿宋" w:hAnsi="仿宋" w:eastAsia="仿宋" w:cs="仿宋"/>
          <w:sz w:val="32"/>
          <w:szCs w:val="32"/>
          <w:lang w:val="en-US" w:eastAsia="zh-CN"/>
        </w:rPr>
        <w:t>371.23</w:t>
      </w:r>
      <w:r>
        <w:rPr>
          <w:rFonts w:hint="eastAsia" w:ascii="仿宋" w:hAnsi="仿宋" w:eastAsia="仿宋" w:cs="仿宋"/>
          <w:sz w:val="32"/>
          <w:szCs w:val="32"/>
        </w:rPr>
        <w:t>万元。截至202</w:t>
      </w:r>
      <w:r>
        <w:rPr>
          <w:rFonts w:hint="eastAsia" w:ascii="仿宋" w:hAnsi="仿宋" w:eastAsia="仿宋" w:cs="仿宋"/>
          <w:sz w:val="32"/>
          <w:szCs w:val="32"/>
          <w:lang w:val="en-US" w:eastAsia="zh-CN"/>
        </w:rPr>
        <w:t>3</w:t>
      </w:r>
      <w:r>
        <w:rPr>
          <w:rFonts w:hint="eastAsia" w:ascii="仿宋" w:hAnsi="仿宋" w:eastAsia="仿宋" w:cs="仿宋"/>
          <w:sz w:val="32"/>
          <w:szCs w:val="32"/>
        </w:rPr>
        <w:t>年12月31日，固定资产账面原值</w:t>
      </w:r>
      <w:r>
        <w:rPr>
          <w:rFonts w:hint="eastAsia" w:ascii="仿宋" w:hAnsi="仿宋" w:eastAsia="仿宋" w:cs="仿宋"/>
          <w:sz w:val="32"/>
          <w:szCs w:val="32"/>
          <w:lang w:val="en-US" w:eastAsia="zh-CN"/>
        </w:rPr>
        <w:t>718.39</w:t>
      </w:r>
      <w:r>
        <w:rPr>
          <w:rFonts w:hint="eastAsia" w:ascii="仿宋" w:hAnsi="仿宋" w:eastAsia="仿宋" w:cs="仿宋"/>
          <w:sz w:val="32"/>
          <w:szCs w:val="32"/>
        </w:rPr>
        <w:t>万元，在用资产</w:t>
      </w:r>
      <w:r>
        <w:rPr>
          <w:rFonts w:hint="eastAsia" w:ascii="仿宋" w:hAnsi="仿宋" w:eastAsia="仿宋" w:cs="仿宋"/>
          <w:sz w:val="32"/>
          <w:szCs w:val="32"/>
          <w:lang w:val="en-US" w:eastAsia="zh-CN"/>
        </w:rPr>
        <w:t>718.39</w:t>
      </w:r>
      <w:r>
        <w:rPr>
          <w:rFonts w:hint="eastAsia" w:ascii="仿宋" w:hAnsi="仿宋" w:eastAsia="仿宋" w:cs="仿宋"/>
          <w:sz w:val="32"/>
          <w:szCs w:val="32"/>
        </w:rPr>
        <w:t>万元，资产使用率</w:t>
      </w:r>
      <w:r>
        <w:rPr>
          <w:rFonts w:hint="eastAsia" w:ascii="仿宋" w:hAnsi="仿宋" w:eastAsia="仿宋" w:cs="仿宋"/>
          <w:sz w:val="32"/>
          <w:szCs w:val="32"/>
          <w:lang w:val="en-US" w:eastAsia="zh-CN"/>
        </w:rPr>
        <w:t>100</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321" w:firstLineChars="100"/>
        <w:textAlignment w:val="auto"/>
        <w:rPr>
          <w:rFonts w:hint="eastAsia" w:ascii="仿宋" w:hAnsi="仿宋" w:eastAsia="仿宋" w:cs="仿宋"/>
          <w:sz w:val="32"/>
          <w:szCs w:val="32"/>
        </w:rPr>
      </w:pPr>
      <w:r>
        <w:rPr>
          <w:rFonts w:hint="eastAsia" w:ascii="仿宋" w:hAnsi="仿宋" w:eastAsia="仿宋" w:cs="仿宋"/>
          <w:b/>
          <w:bCs/>
          <w:sz w:val="32"/>
          <w:szCs w:val="32"/>
        </w:rPr>
        <w:t>（二）资金使用及绩效情况</w:t>
      </w:r>
    </w:p>
    <w:p>
      <w:pPr>
        <w:keepNext w:val="0"/>
        <w:keepLines w:val="0"/>
        <w:pageBreakBefore w:val="0"/>
        <w:widowControl w:val="0"/>
        <w:kinsoku/>
        <w:wordWrap/>
        <w:overflowPunct/>
        <w:topLinePunct w:val="0"/>
        <w:autoSpaceDE/>
        <w:autoSpaceDN/>
        <w:bidi w:val="0"/>
        <w:adjustRightInd w:val="0"/>
        <w:snapToGrid w:val="0"/>
        <w:spacing w:line="360" w:lineRule="auto"/>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1</w:t>
      </w:r>
      <w:r>
        <w:rPr>
          <w:rFonts w:hint="eastAsia" w:ascii="仿宋" w:hAnsi="仿宋" w:eastAsia="仿宋" w:cs="仿宋"/>
          <w:b/>
          <w:bCs/>
          <w:sz w:val="32"/>
          <w:szCs w:val="32"/>
          <w:lang w:val="en-US" w:eastAsia="zh-CN"/>
        </w:rPr>
        <w:t>.</w:t>
      </w:r>
      <w:r>
        <w:rPr>
          <w:rFonts w:hint="eastAsia" w:ascii="仿宋" w:hAnsi="仿宋" w:eastAsia="仿宋" w:cs="仿宋"/>
          <w:b/>
          <w:bCs/>
          <w:sz w:val="32"/>
          <w:szCs w:val="32"/>
        </w:rPr>
        <w:t>整体绩效目标完成情况</w:t>
      </w:r>
    </w:p>
    <w:p>
      <w:pPr>
        <w:pStyle w:val="2"/>
        <w:rPr>
          <w:rFonts w:hint="eastAsia"/>
        </w:rPr>
      </w:pPr>
      <w:r>
        <w:rPr>
          <w:rFonts w:hint="eastAsia" w:ascii="仿宋" w:hAnsi="仿宋" w:eastAsia="仿宋" w:cs="仿宋"/>
          <w:sz w:val="32"/>
          <w:szCs w:val="32"/>
          <w:lang w:val="en-US" w:eastAsia="zh-CN"/>
        </w:rPr>
        <w:t>年初预算数1496.52万元，全年预算数2499.24万元，执行数2499.24万元，完成预算数167%。执行数大于预算数的原因是本年度追加了项目经费。</w:t>
      </w:r>
    </w:p>
    <w:p>
      <w:pPr>
        <w:keepNext w:val="0"/>
        <w:keepLines w:val="0"/>
        <w:pageBreakBefore w:val="0"/>
        <w:widowControl w:val="0"/>
        <w:kinsoku/>
        <w:wordWrap/>
        <w:overflowPunct/>
        <w:topLinePunct w:val="0"/>
        <w:autoSpaceDE/>
        <w:autoSpaceDN/>
        <w:bidi w:val="0"/>
        <w:adjustRightInd w:val="0"/>
        <w:snapToGrid w:val="0"/>
        <w:spacing w:line="360" w:lineRule="auto"/>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rPr>
        <w:t>2</w:t>
      </w:r>
      <w:r>
        <w:rPr>
          <w:rFonts w:hint="eastAsia" w:ascii="仿宋" w:hAnsi="仿宋" w:eastAsia="仿宋" w:cs="仿宋"/>
          <w:b/>
          <w:bCs/>
          <w:sz w:val="32"/>
          <w:szCs w:val="32"/>
          <w:lang w:eastAsia="zh-CN"/>
        </w:rPr>
        <w:t>.</w:t>
      </w:r>
      <w:r>
        <w:rPr>
          <w:rFonts w:hint="eastAsia" w:ascii="仿宋" w:hAnsi="仿宋" w:eastAsia="仿宋" w:cs="仿宋"/>
          <w:b/>
          <w:bCs/>
          <w:sz w:val="32"/>
          <w:szCs w:val="32"/>
        </w:rPr>
        <w:t>项目绩效目标完成情况</w:t>
      </w:r>
      <w:r>
        <w:rPr>
          <w:rFonts w:hint="eastAsia" w:ascii="仿宋" w:hAnsi="仿宋" w:eastAsia="仿宋" w:cs="仿宋"/>
          <w:b/>
          <w:bCs/>
          <w:sz w:val="32"/>
          <w:szCs w:val="32"/>
          <w:lang w:eastAsia="zh-CN"/>
        </w:rPr>
        <w:t>（</w:t>
      </w:r>
      <w:r>
        <w:rPr>
          <w:rFonts w:hint="eastAsia" w:ascii="仿宋" w:hAnsi="仿宋" w:eastAsia="仿宋" w:cs="仿宋"/>
          <w:b/>
          <w:bCs/>
          <w:sz w:val="32"/>
          <w:szCs w:val="32"/>
          <w:lang w:val="en-US" w:eastAsia="zh-CN"/>
        </w:rPr>
        <w:t>仅对50万元以上的项目资金进行分项说明</w:t>
      </w:r>
      <w:r>
        <w:rPr>
          <w:rFonts w:hint="eastAsia" w:ascii="仿宋" w:hAnsi="仿宋" w:eastAsia="仿宋" w:cs="仿宋"/>
          <w:b/>
          <w:bCs/>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（1）</w:t>
      </w:r>
      <w:r>
        <w:rPr>
          <w:rFonts w:hint="eastAsia" w:ascii="仿宋" w:hAnsi="仿宋" w:eastAsia="仿宋" w:cs="仿宋"/>
          <w:kern w:val="2"/>
          <w:sz w:val="32"/>
          <w:szCs w:val="32"/>
          <w:lang w:val="en-US" w:eastAsia="zh-CN" w:bidi="ar-SA"/>
        </w:rPr>
        <w:t>接待专项</w:t>
      </w:r>
      <w:r>
        <w:rPr>
          <w:rFonts w:hint="eastAsia" w:ascii="仿宋" w:hAnsi="仿宋" w:eastAsia="仿宋" w:cs="仿宋"/>
          <w:sz w:val="32"/>
          <w:szCs w:val="32"/>
          <w:lang w:val="en-US" w:eastAsia="zh-CN"/>
        </w:rPr>
        <w:t>项目</w:t>
      </w:r>
    </w:p>
    <w:p>
      <w:pPr>
        <w:pStyle w:val="2"/>
        <w:ind w:firstLine="640" w:firstLineChars="200"/>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项目年初预算数208万元，全年预算数</w:t>
      </w:r>
      <w:r>
        <w:rPr>
          <w:rFonts w:hint="eastAsia" w:ascii="仿宋" w:hAnsi="仿宋" w:eastAsia="仿宋" w:cs="仿宋"/>
          <w:sz w:val="32"/>
          <w:szCs w:val="32"/>
          <w:lang w:val="en-US" w:eastAsia="zh-CN"/>
        </w:rPr>
        <w:t>208</w:t>
      </w:r>
      <w:r>
        <w:rPr>
          <w:rFonts w:hint="eastAsia" w:ascii="仿宋" w:hAnsi="仿宋" w:eastAsia="仿宋" w:cs="仿宋"/>
          <w:kern w:val="2"/>
          <w:sz w:val="32"/>
          <w:szCs w:val="32"/>
          <w:lang w:val="en-US" w:eastAsia="zh-CN" w:bidi="ar-SA"/>
        </w:rPr>
        <w:t>万元，执行数</w:t>
      </w:r>
      <w:r>
        <w:rPr>
          <w:rFonts w:hint="eastAsia" w:ascii="仿宋" w:hAnsi="仿宋" w:eastAsia="仿宋" w:cs="仿宋"/>
          <w:sz w:val="32"/>
          <w:szCs w:val="32"/>
          <w:lang w:val="en-US" w:eastAsia="zh-CN"/>
        </w:rPr>
        <w:t>208</w:t>
      </w:r>
      <w:r>
        <w:rPr>
          <w:rFonts w:hint="eastAsia" w:ascii="仿宋" w:hAnsi="仿宋" w:eastAsia="仿宋" w:cs="仿宋"/>
          <w:kern w:val="2"/>
          <w:sz w:val="32"/>
          <w:szCs w:val="32"/>
          <w:lang w:val="en-US" w:eastAsia="zh-CN" w:bidi="ar-SA"/>
        </w:rPr>
        <w:t>万元，完成预算数的100%。</w:t>
      </w:r>
    </w:p>
    <w:p>
      <w:pPr>
        <w:pStyle w:val="2"/>
        <w:ind w:left="0" w:leftChars="0" w:firstLine="0" w:firstLineChars="0"/>
        <w:rPr>
          <w:rFonts w:hint="eastAsia"/>
          <w:lang w:val="en-US" w:eastAsia="zh-CN"/>
        </w:rPr>
      </w:pPr>
    </w:p>
    <w:p>
      <w:pPr>
        <w:keepNext w:val="0"/>
        <w:keepLines w:val="0"/>
        <w:pageBreakBefore w:val="0"/>
        <w:widowControl w:val="0"/>
        <w:numPr>
          <w:ilvl w:val="0"/>
          <w:numId w:val="1"/>
        </w:numPr>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kern w:val="2"/>
          <w:sz w:val="32"/>
          <w:szCs w:val="32"/>
          <w:lang w:val="en-US" w:eastAsia="zh-CN" w:bidi="ar-SA"/>
        </w:rPr>
        <w:t>劳务派遣人员</w:t>
      </w:r>
      <w:r>
        <w:rPr>
          <w:rFonts w:hint="eastAsia" w:ascii="仿宋" w:hAnsi="仿宋" w:eastAsia="仿宋" w:cs="仿宋"/>
          <w:sz w:val="32"/>
          <w:szCs w:val="32"/>
          <w:lang w:val="en-US" w:eastAsia="zh-CN"/>
        </w:rPr>
        <w:t>项目</w:t>
      </w:r>
    </w:p>
    <w:p>
      <w:pPr>
        <w:pStyle w:val="2"/>
        <w:numPr>
          <w:ilvl w:val="0"/>
          <w:numId w:val="0"/>
        </w:numPr>
        <w:ind w:leftChars="200"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项目年初预算数160万元，全年预算数160万元，执行数160万元，完成预算数的100%。本年度已保障劳务派遣人员工资经费正常发放，单位职能正常运转。</w:t>
      </w:r>
    </w:p>
    <w:p>
      <w:pPr>
        <w:pStyle w:val="2"/>
        <w:numPr>
          <w:ilvl w:val="0"/>
          <w:numId w:val="1"/>
        </w:numPr>
        <w:ind w:left="0" w:leftChars="0"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县委县政府机关大院物业管理经费项目</w:t>
      </w:r>
    </w:p>
    <w:p>
      <w:pPr>
        <w:pStyle w:val="2"/>
        <w:ind w:firstLine="640" w:firstLineChars="200"/>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 xml:space="preserve">  项目年初预算数200万元，全年预算数171.34万元，执行数171.34万元，完成预算数的100%。执行数小于预算数的原因是2023年度申请支付物业费28.66万元，财政未审核，被收回。</w:t>
      </w:r>
    </w:p>
    <w:p>
      <w:pPr>
        <w:pStyle w:val="2"/>
        <w:numPr>
          <w:ilvl w:val="0"/>
          <w:numId w:val="1"/>
        </w:numPr>
        <w:ind w:left="0" w:leftChars="0"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公车服务中心运行经费项目</w:t>
      </w:r>
    </w:p>
    <w:p>
      <w:pPr>
        <w:pStyle w:val="2"/>
        <w:ind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项目年初预算数440万元，全年预算数440万元，执行数440万元，完成预算数的100%。</w:t>
      </w:r>
    </w:p>
    <w:p>
      <w:pPr>
        <w:pStyle w:val="2"/>
        <w:numPr>
          <w:ilvl w:val="0"/>
          <w:numId w:val="1"/>
        </w:numPr>
        <w:ind w:left="0" w:leftChars="0"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不动产权属统一登记工作经费</w:t>
      </w:r>
    </w:p>
    <w:p>
      <w:pPr>
        <w:pStyle w:val="2"/>
        <w:ind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项目追加预算数115.31万元，全年预算数115.31万元，执行数115.31万元，完成预算数的100%。</w:t>
      </w:r>
    </w:p>
    <w:p>
      <w:pPr>
        <w:pStyle w:val="2"/>
        <w:numPr>
          <w:ilvl w:val="0"/>
          <w:numId w:val="1"/>
        </w:numPr>
        <w:ind w:left="0" w:leftChars="0"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武家山会务中心维修资金</w:t>
      </w:r>
    </w:p>
    <w:p>
      <w:pPr>
        <w:pStyle w:val="2"/>
        <w:ind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 xml:space="preserve"> 项目追加预算数70.7万元，全年预算数70.7万元，执行数70.7万元，完成预算数的100%。</w:t>
      </w:r>
    </w:p>
    <w:p>
      <w:pPr>
        <w:pStyle w:val="2"/>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（7）2022年结转-县委、县人民政府机关大院物业管理费预算和政府采购招投标资金</w:t>
      </w:r>
    </w:p>
    <w:p>
      <w:pPr>
        <w:pStyle w:val="2"/>
        <w:ind w:firstLine="960" w:firstLineChars="300"/>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上年结转数134.64万元，全年预算数134.64万元，执行数134.64万元，完成预算数的100%。</w:t>
      </w:r>
    </w:p>
    <w:p>
      <w:pPr>
        <w:pStyle w:val="2"/>
        <w:numPr>
          <w:ilvl w:val="0"/>
          <w:numId w:val="0"/>
        </w:numPr>
        <w:ind w:leftChars="200"/>
        <w:rPr>
          <w:rFonts w:hint="default" w:ascii="仿宋" w:hAnsi="仿宋" w:eastAsia="仿宋" w:cs="仿宋"/>
          <w:kern w:val="2"/>
          <w:sz w:val="32"/>
          <w:szCs w:val="32"/>
          <w:lang w:val="en-US" w:eastAsia="zh-CN" w:bidi="ar-SA"/>
        </w:rPr>
      </w:pPr>
    </w:p>
    <w:p>
      <w:pPr>
        <w:keepNext w:val="0"/>
        <w:keepLines w:val="0"/>
        <w:pageBreakBefore w:val="0"/>
        <w:widowControl w:val="0"/>
        <w:numPr>
          <w:ilvl w:val="0"/>
          <w:numId w:val="2"/>
        </w:numPr>
        <w:kinsoku/>
        <w:wordWrap/>
        <w:overflowPunct/>
        <w:topLinePunct w:val="0"/>
        <w:autoSpaceDE/>
        <w:autoSpaceDN/>
        <w:bidi w:val="0"/>
        <w:adjustRightInd w:val="0"/>
        <w:snapToGrid w:val="0"/>
        <w:spacing w:line="360" w:lineRule="auto"/>
        <w:ind w:firstLine="643" w:firstLineChars="200"/>
        <w:textAlignment w:val="auto"/>
        <w:rPr>
          <w:rFonts w:hint="eastAsia" w:ascii="黑体" w:hAnsi="黑体" w:eastAsia="黑体" w:cs="黑体"/>
          <w:b/>
          <w:bCs/>
          <w:sz w:val="32"/>
          <w:szCs w:val="32"/>
        </w:rPr>
      </w:pPr>
      <w:r>
        <w:rPr>
          <w:rFonts w:hint="eastAsia" w:ascii="黑体" w:hAnsi="黑体" w:eastAsia="黑体" w:cs="黑体"/>
          <w:b/>
          <w:bCs/>
          <w:sz w:val="32"/>
          <w:szCs w:val="32"/>
        </w:rPr>
        <w:t>存在的问题及改进措施</w:t>
      </w:r>
    </w:p>
    <w:p>
      <w:pPr>
        <w:pStyle w:val="2"/>
        <w:numPr>
          <w:ilvl w:val="0"/>
          <w:numId w:val="0"/>
        </w:numPr>
        <w:ind w:leftChars="200"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无</w:t>
      </w:r>
    </w:p>
    <w:p>
      <w:pPr>
        <w:keepNext w:val="0"/>
        <w:keepLines w:val="0"/>
        <w:pageBreakBefore w:val="0"/>
        <w:widowControl w:val="0"/>
        <w:numPr>
          <w:ilvl w:val="0"/>
          <w:numId w:val="2"/>
        </w:numPr>
        <w:kinsoku/>
        <w:wordWrap/>
        <w:overflowPunct/>
        <w:topLinePunct w:val="0"/>
        <w:autoSpaceDE/>
        <w:autoSpaceDN/>
        <w:bidi w:val="0"/>
        <w:adjustRightInd w:val="0"/>
        <w:snapToGrid w:val="0"/>
        <w:spacing w:line="360" w:lineRule="auto"/>
        <w:ind w:left="0" w:leftChars="0" w:firstLine="643" w:firstLineChars="200"/>
        <w:textAlignment w:val="auto"/>
        <w:rPr>
          <w:rFonts w:hint="eastAsia" w:ascii="黑体" w:hAnsi="黑体" w:eastAsia="黑体" w:cs="黑体"/>
          <w:b/>
          <w:bCs/>
          <w:sz w:val="32"/>
          <w:szCs w:val="32"/>
        </w:rPr>
      </w:pPr>
      <w:r>
        <w:rPr>
          <w:rFonts w:hint="eastAsia" w:ascii="黑体" w:hAnsi="黑体" w:eastAsia="黑体" w:cs="黑体"/>
          <w:b/>
          <w:bCs/>
          <w:sz w:val="32"/>
          <w:szCs w:val="32"/>
        </w:rPr>
        <w:t>其他需要说明的情况</w:t>
      </w:r>
    </w:p>
    <w:p>
      <w:pPr>
        <w:pStyle w:val="2"/>
        <w:numPr>
          <w:ilvl w:val="0"/>
          <w:numId w:val="0"/>
        </w:numPr>
        <w:ind w:leftChars="200"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无</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F708E6B"/>
    <w:multiLevelType w:val="singleLevel"/>
    <w:tmpl w:val="6F708E6B"/>
    <w:lvl w:ilvl="0" w:tentative="0">
      <w:start w:val="2"/>
      <w:numFmt w:val="decimal"/>
      <w:suff w:val="nothing"/>
      <w:lvlText w:val="（%1）"/>
      <w:lvlJc w:val="left"/>
    </w:lvl>
  </w:abstractNum>
  <w:abstractNum w:abstractNumId="1">
    <w:nsid w:val="7DC6B404"/>
    <w:multiLevelType w:val="singleLevel"/>
    <w:tmpl w:val="7DC6B404"/>
    <w:lvl w:ilvl="0" w:tentative="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gxYWQyNTQyZWJmOGVhZmNiMzUwNzliYTRmZjQ3YjgifQ=="/>
  </w:docVars>
  <w:rsids>
    <w:rsidRoot w:val="00000000"/>
    <w:rsid w:val="05D77344"/>
    <w:rsid w:val="0FC87CEA"/>
    <w:rsid w:val="2A7A72DB"/>
    <w:rsid w:val="316D4DC7"/>
    <w:rsid w:val="3245453C"/>
    <w:rsid w:val="4ABB727A"/>
    <w:rsid w:val="4F7B00E3"/>
    <w:rsid w:val="508731FB"/>
    <w:rsid w:val="59992013"/>
    <w:rsid w:val="5A142B04"/>
    <w:rsid w:val="66FC163B"/>
    <w:rsid w:val="775E3590"/>
    <w:rsid w:val="791348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1"/>
    <w:autoRedefine/>
    <w:qFormat/>
    <w:uiPriority w:val="0"/>
    <w:pPr>
      <w:ind w:left="420" w:leftChars="200" w:firstLine="21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28</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2024-04-01T13:37:00Z</dcterms:created>
  <dc:creator>Administrator</dc:creator>
  <cp:lastModifiedBy>晴熙雪薇</cp:lastModifiedBy>
  <dcterms:modified xsi:type="dcterms:W3CDTF">2024-04-02T01:36:34Z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DE5B68B13A884D12A02862B4FFC81687_12</vt:lpwstr>
  </property>
</Properties>
</file>